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04" w:rsidRPr="00A62E40" w:rsidRDefault="009E6E04" w:rsidP="009E6E04">
      <w:pPr>
        <w:pStyle w:val="a4"/>
        <w:adjustRightInd w:val="0"/>
        <w:snapToGrid w:val="0"/>
        <w:spacing w:before="200" w:line="288" w:lineRule="auto"/>
        <w:ind w:firstLineChars="0" w:firstLine="0"/>
        <w:jc w:val="center"/>
        <w:rPr>
          <w:rFonts w:ascii="Times New Roman" w:eastAsia="仿宋_GB2312" w:hAnsi="Times New Roman" w:cs="Times New Roman"/>
          <w:b/>
          <w:sz w:val="24"/>
          <w:szCs w:val="24"/>
        </w:rPr>
      </w:pPr>
      <w:r w:rsidRPr="00A62E40">
        <w:rPr>
          <w:rFonts w:ascii="Times New Roman" w:eastAsia="仿宋_GB2312" w:hAnsi="Times New Roman" w:cs="Times New Roman"/>
          <w:b/>
          <w:sz w:val="24"/>
          <w:szCs w:val="24"/>
        </w:rPr>
        <w:t xml:space="preserve">Measures for Hedging Management of Dalian Commodity Exchange </w:t>
      </w:r>
    </w:p>
    <w:p w:rsidR="009E6E04" w:rsidRDefault="009E6E04" w:rsidP="009E6E04">
      <w:pPr>
        <w:adjustRightInd w:val="0"/>
        <w:snapToGrid w:val="0"/>
        <w:spacing w:before="200" w:line="288" w:lineRule="auto"/>
        <w:jc w:val="center"/>
        <w:rPr>
          <w:rFonts w:ascii="Times New Roman" w:eastAsia="仿宋_GB2312" w:hAnsi="Times New Roman"/>
          <w:sz w:val="24"/>
          <w:szCs w:val="24"/>
        </w:rPr>
      </w:pPr>
      <w:r>
        <w:rPr>
          <w:rFonts w:ascii="Times New Roman" w:hAnsi="Times New Roman"/>
          <w:b/>
          <w:bCs/>
          <w:sz w:val="24"/>
          <w:szCs w:val="24"/>
        </w:rPr>
        <w:t>Chapter I General Provisions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Measures for Hedging Management of Dalian Commodity Exchange (the "</w:t>
      </w:r>
      <w:r>
        <w:rPr>
          <w:rFonts w:ascii="Times New Roman" w:hAnsi="Times New Roman"/>
          <w:b/>
          <w:bCs/>
          <w:sz w:val="24"/>
          <w:szCs w:val="24"/>
        </w:rPr>
        <w:t>Measures</w:t>
      </w:r>
      <w:r>
        <w:rPr>
          <w:rFonts w:ascii="Times New Roman" w:hAnsi="Times New Roman"/>
          <w:sz w:val="24"/>
          <w:szCs w:val="24"/>
        </w:rPr>
        <w:t xml:space="preserve">") are formulated pursuant to the </w:t>
      </w:r>
      <w:r>
        <w:rPr>
          <w:rFonts w:ascii="Times New Roman" w:hAnsi="Times New Roman"/>
          <w:i/>
          <w:iCs/>
          <w:sz w:val="24"/>
          <w:szCs w:val="24"/>
        </w:rPr>
        <w:t>Trading Rules of Dalian Commodity Exchange</w:t>
      </w:r>
      <w:r>
        <w:rPr>
          <w:rFonts w:ascii="Times New Roman" w:hAnsi="Times New Roman"/>
          <w:sz w:val="24"/>
          <w:szCs w:val="24"/>
        </w:rPr>
        <w:t xml:space="preserve"> and other regulations for the purposes of fully playing the hedging function of the futures market and promoting the regulated development of the futures market.</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Hedge trading shall be subject to the qualification accreditation and position limit management rules. Based on different contract months, the hedging position limit shall be divided into the hedging position limit of the general months (counting from the listing date of the contract to the last trading day of the first month preceding the delivery month) and that of the delivery months.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Dalian Commodity Exchange (the "</w:t>
      </w:r>
      <w:r>
        <w:rPr>
          <w:rFonts w:ascii="Times New Roman" w:hAnsi="Times New Roman"/>
          <w:b/>
          <w:bCs/>
          <w:sz w:val="24"/>
          <w:szCs w:val="24"/>
        </w:rPr>
        <w:t>Exchange</w:t>
      </w:r>
      <w:r>
        <w:rPr>
          <w:rFonts w:ascii="Times New Roman" w:hAnsi="Times New Roman"/>
          <w:sz w:val="24"/>
          <w:szCs w:val="24"/>
        </w:rPr>
        <w:t xml:space="preserve">"), Members, </w:t>
      </w:r>
      <w:r>
        <w:rPr>
          <w:rFonts w:ascii="Times New Roman" w:hAnsi="Times New Roman"/>
          <w:color w:val="000000"/>
          <w:sz w:val="24"/>
          <w:szCs w:val="24"/>
        </w:rPr>
        <w:t>Overseas Special Participants (the "</w:t>
      </w:r>
      <w:r>
        <w:rPr>
          <w:rFonts w:ascii="Times New Roman" w:hAnsi="Times New Roman"/>
          <w:b/>
          <w:bCs/>
          <w:color w:val="000000"/>
          <w:sz w:val="24"/>
          <w:szCs w:val="24"/>
        </w:rPr>
        <w:t>OSPs</w:t>
      </w:r>
      <w:r>
        <w:rPr>
          <w:rFonts w:ascii="Times New Roman" w:hAnsi="Times New Roman"/>
          <w:color w:val="000000"/>
          <w:sz w:val="24"/>
          <w:szCs w:val="24"/>
        </w:rPr>
        <w:t>")</w:t>
      </w:r>
      <w:r>
        <w:rPr>
          <w:rFonts w:ascii="Times New Roman" w:hAnsi="Times New Roman"/>
          <w:sz w:val="24"/>
          <w:szCs w:val="24"/>
        </w:rPr>
        <w:t>, Overseas Intermediaries and clients engaging in hedging at the Exchange shall comply with the Measures</w:t>
      </w:r>
    </w:p>
    <w:p w:rsidR="009E6E04" w:rsidRDefault="009E6E04" w:rsidP="009E6E04">
      <w:pPr>
        <w:adjustRightInd w:val="0"/>
        <w:snapToGrid w:val="0"/>
        <w:spacing w:before="200" w:line="288" w:lineRule="auto"/>
        <w:jc w:val="center"/>
        <w:rPr>
          <w:rFonts w:ascii="Times New Roman" w:hAnsi="Times New Roman"/>
          <w:sz w:val="24"/>
          <w:szCs w:val="24"/>
        </w:rPr>
      </w:pPr>
      <w:r>
        <w:rPr>
          <w:rFonts w:ascii="Times New Roman" w:hAnsi="Times New Roman"/>
          <w:b/>
          <w:bCs/>
          <w:sz w:val="24"/>
          <w:szCs w:val="24"/>
        </w:rPr>
        <w:t>Chapter II Qualification Accreditation</w:t>
      </w:r>
    </w:p>
    <w:p w:rsidR="009E6E04" w:rsidRDefault="009E6E04" w:rsidP="009E6E04">
      <w:pPr>
        <w:numPr>
          <w:ilvl w:val="0"/>
          <w:numId w:val="1"/>
        </w:numPr>
        <w:adjustRightInd w:val="0"/>
        <w:snapToGrid w:val="0"/>
        <w:spacing w:before="200" w:line="288" w:lineRule="auto"/>
        <w:rPr>
          <w:rFonts w:ascii="Times New Roman" w:hAnsi="Times New Roman"/>
          <w:sz w:val="24"/>
          <w:szCs w:val="24"/>
          <w:shd w:val="clear" w:color="auto" w:fill="7F7F7F"/>
        </w:rPr>
      </w:pPr>
      <w:r>
        <w:rPr>
          <w:rFonts w:ascii="Times New Roman" w:hAnsi="Times New Roman"/>
          <w:sz w:val="24"/>
          <w:szCs w:val="24"/>
        </w:rPr>
        <w:t>For hedging-relevant business, the client who entrusts the Futures Company Member to engage in futures trading shall entrust the Futures Company Member to handle relevant business; the client who entrusts the Overseas Special Brokerage Participant (the "</w:t>
      </w:r>
      <w:r>
        <w:rPr>
          <w:rFonts w:ascii="Times New Roman" w:hAnsi="Times New Roman"/>
          <w:b/>
          <w:bCs/>
          <w:sz w:val="24"/>
          <w:szCs w:val="24"/>
        </w:rPr>
        <w:t>OSBP</w:t>
      </w:r>
      <w:r>
        <w:rPr>
          <w:rFonts w:ascii="Times New Roman" w:hAnsi="Times New Roman"/>
          <w:sz w:val="24"/>
          <w:szCs w:val="24"/>
        </w:rPr>
        <w:t>") to engage in futures trading shall entrust the OSBP to handle relevant business; the client who entrusts the Overseas Intermediary to engage in futures trading shall entrust the Overseas Intermediary to handle relevant business, and the Overseas Intermediary shall then entrust the Futures Company Member or OSBP to handle relevant business; the Non-Futures Company Member and the Overseas Special Non-Brokerage Participant (the "</w:t>
      </w:r>
      <w:r>
        <w:rPr>
          <w:rFonts w:ascii="Times New Roman" w:hAnsi="Times New Roman"/>
          <w:b/>
          <w:bCs/>
          <w:sz w:val="24"/>
          <w:szCs w:val="24"/>
        </w:rPr>
        <w:t>OSNBP</w:t>
      </w:r>
      <w:r>
        <w:rPr>
          <w:rFonts w:ascii="Times New Roman" w:hAnsi="Times New Roman"/>
          <w:sz w:val="24"/>
          <w:szCs w:val="24"/>
        </w:rPr>
        <w:t>") shall apply to the Exchange for hedging-relevant business.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Non-Futures Company Members, OSNBPs and clients engaging in hedge trading shall have the production and operation qualifications related to the hedge trading products.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Non-Futures Company Members, OSNBPs and clients engaging in hedging shall submit the following application materials to the Exchange in accordance with Article 4:</w:t>
      </w:r>
    </w:p>
    <w:p w:rsidR="009E6E04" w:rsidRDefault="009E6E04" w:rsidP="009E6E04">
      <w:pPr>
        <w:numPr>
          <w:ilvl w:val="0"/>
          <w:numId w:val="2"/>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 xml:space="preserve">the application form for hedge trading qualification which mainly includes the applicant's basic information, products applied and </w:t>
      </w:r>
      <w:r>
        <w:rPr>
          <w:rFonts w:ascii="Times New Roman" w:hAnsi="Times New Roman"/>
          <w:sz w:val="24"/>
          <w:szCs w:val="24"/>
        </w:rPr>
        <w:lastRenderedPageBreak/>
        <w:t>other information required by the Exchange;</w:t>
      </w:r>
    </w:p>
    <w:p w:rsidR="009E6E04" w:rsidRDefault="009E6E04" w:rsidP="009E6E04">
      <w:pPr>
        <w:numPr>
          <w:ilvl w:val="0"/>
          <w:numId w:val="2"/>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the photocopy of the duplicate of the Enterprise Business License or the certificate of incorporation or other documents that can prove the business scope; and</w:t>
      </w:r>
    </w:p>
    <w:p w:rsidR="009E6E04" w:rsidRDefault="009E6E04" w:rsidP="009E6E04">
      <w:pPr>
        <w:numPr>
          <w:ilvl w:val="0"/>
          <w:numId w:val="2"/>
        </w:numPr>
        <w:adjustRightInd w:val="0"/>
        <w:snapToGrid w:val="0"/>
        <w:spacing w:before="200" w:line="288" w:lineRule="auto"/>
        <w:ind w:left="1843" w:hanging="567"/>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materials required by the Exchange.</w:t>
      </w:r>
    </w:p>
    <w:p w:rsidR="009E6E04" w:rsidRDefault="009E6E04" w:rsidP="009E6E04">
      <w:pPr>
        <w:numPr>
          <w:ilvl w:val="0"/>
          <w:numId w:val="1"/>
        </w:numPr>
        <w:adjustRightInd w:val="0"/>
        <w:snapToGrid w:val="0"/>
        <w:spacing w:before="200" w:line="288" w:lineRule="auto"/>
        <w:rPr>
          <w:rFonts w:ascii="Times New Roman" w:eastAsia="仿宋_GB2312" w:hAnsi="Times New Roman"/>
          <w:sz w:val="24"/>
          <w:szCs w:val="24"/>
        </w:rPr>
      </w:pPr>
      <w:r>
        <w:rPr>
          <w:rFonts w:ascii="Times New Roman" w:hAnsi="Times New Roman"/>
          <w:sz w:val="24"/>
          <w:szCs w:val="24"/>
        </w:rPr>
        <w:t>Upon receipt of the complete application materials, the Exchange shall examine the application and reply within five (5) working days.</w:t>
      </w:r>
    </w:p>
    <w:p w:rsidR="009E6E04" w:rsidRDefault="009E6E04" w:rsidP="009E6E04">
      <w:pPr>
        <w:adjustRightInd w:val="0"/>
        <w:snapToGrid w:val="0"/>
        <w:spacing w:before="200" w:line="288" w:lineRule="auto"/>
        <w:jc w:val="center"/>
        <w:rPr>
          <w:rFonts w:ascii="Times New Roman" w:hAnsi="Times New Roman"/>
          <w:sz w:val="24"/>
          <w:szCs w:val="24"/>
        </w:rPr>
      </w:pPr>
      <w:r>
        <w:rPr>
          <w:rFonts w:ascii="Times New Roman" w:hAnsi="Times New Roman"/>
          <w:b/>
          <w:bCs/>
          <w:sz w:val="24"/>
          <w:szCs w:val="24"/>
        </w:rPr>
        <w:t>Chapter III Position Limit</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Non-Futures Company Members, OSNBPs and clients may engage in hedging of the futures and option contracts of the applicable products after obtaining the hedge trading qualification.</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The Non-Futures Company Members, OSNBPs and clients who have obtained the hedge trading qualifications may directly hold hedging positions by executing transaction orders or by confirming the historical speculative positions.</w:t>
      </w:r>
    </w:p>
    <w:p w:rsidR="009E6E04" w:rsidRDefault="009E6E04" w:rsidP="009E6E04">
      <w:pPr>
        <w:numPr>
          <w:ilvl w:val="0"/>
          <w:numId w:val="1"/>
        </w:numPr>
        <w:adjustRightInd w:val="0"/>
        <w:snapToGrid w:val="0"/>
        <w:spacing w:before="200" w:line="288" w:lineRule="auto"/>
        <w:rPr>
          <w:rFonts w:ascii="Times New Roman" w:hAnsi="Times New Roman"/>
          <w:sz w:val="24"/>
          <w:szCs w:val="24"/>
          <w:shd w:val="clear" w:color="auto" w:fill="7F7F7F"/>
        </w:rPr>
      </w:pPr>
      <w:r>
        <w:rPr>
          <w:rFonts w:ascii="Times New Roman" w:hAnsi="Times New Roman"/>
          <w:sz w:val="24"/>
          <w:szCs w:val="24"/>
        </w:rPr>
        <w:t>The hedging position limit of the Non-Futures Company Members, OSNBPs and clients who have not been granted increase of hedging position limit is equal to the speculative position limit in respect of the position amount.</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Non-Futures Company Members, OSNBPs and clients may apply to increase their hedging position limit. The hedging position limit of the Non-Futures Company Members, OSNBPs and clients who have been granted increase of hedging position limit is equal to the sum of such hedging position increase amount and the amount of speculative position limit.</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The hedging position of the Non-Futures Company Members, OSNBPs and clients shall not exceed the hedging position limit prescribed by the Exchange, and the total of hedging positions and speculative positions of the Non-Futures Company Members and clients shall not exceed the hedging position limit prescribed by the Exchange.</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Members, OSPs and clients shall apply to increase their hedging position limits in accordance with Article 4.</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Members, OSPs or clients who apply to increase hedging positions of the general months shall submit the following materials to the Exchange:</w:t>
      </w:r>
    </w:p>
    <w:p w:rsidR="009E6E04" w:rsidRDefault="009E6E04" w:rsidP="009E6E04">
      <w:pPr>
        <w:numPr>
          <w:ilvl w:val="0"/>
          <w:numId w:val="3"/>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 xml:space="preserve">the application form for increasing hedging position limit, which </w:t>
      </w:r>
      <w:r>
        <w:rPr>
          <w:rFonts w:ascii="Times New Roman" w:hAnsi="Times New Roman"/>
          <w:sz w:val="24"/>
          <w:szCs w:val="24"/>
        </w:rPr>
        <w:lastRenderedPageBreak/>
        <w:t>mainly includes the applicant's basic information, products and quantities applied and other information required by the Exchange;</w:t>
      </w:r>
    </w:p>
    <w:p w:rsidR="009E6E04" w:rsidRDefault="009E6E04" w:rsidP="009E6E04">
      <w:pPr>
        <w:numPr>
          <w:ilvl w:val="0"/>
          <w:numId w:val="3"/>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the physical operating performance of the products applied for the recent one (1) year, and the physical operation plans during the hedging period; and</w:t>
      </w:r>
    </w:p>
    <w:p w:rsidR="009E6E04" w:rsidRDefault="009E6E04" w:rsidP="009E6E04">
      <w:pPr>
        <w:numPr>
          <w:ilvl w:val="0"/>
          <w:numId w:val="3"/>
        </w:numPr>
        <w:adjustRightInd w:val="0"/>
        <w:snapToGrid w:val="0"/>
        <w:spacing w:before="200" w:line="288" w:lineRule="auto"/>
        <w:ind w:left="1843" w:hanging="567"/>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materials required by the Exchange.</w:t>
      </w:r>
    </w:p>
    <w:p w:rsidR="009E6E04" w:rsidRDefault="009E6E04" w:rsidP="009E6E04">
      <w:pPr>
        <w:adjustRightInd w:val="0"/>
        <w:snapToGrid w:val="0"/>
        <w:spacing w:before="200" w:line="288" w:lineRule="auto"/>
        <w:ind w:left="1259"/>
        <w:rPr>
          <w:rFonts w:ascii="Times New Roman" w:eastAsia="仿宋_GB2312" w:hAnsi="Times New Roman"/>
          <w:sz w:val="24"/>
          <w:szCs w:val="24"/>
        </w:rPr>
      </w:pPr>
      <w:r>
        <w:rPr>
          <w:rFonts w:ascii="Times New Roman" w:hAnsi="Times New Roman"/>
          <w:sz w:val="24"/>
          <w:szCs w:val="24"/>
        </w:rPr>
        <w:t>The applicant does not need to re-submit the above materials that have been submitted to the Exchange before if there is no change to such materials.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Members, OSPs or clients who apply to increase hedging positions of the delivery months shall submit the following materials to the Exchange:</w:t>
      </w:r>
    </w:p>
    <w:p w:rsidR="009E6E04" w:rsidRDefault="009E6E04" w:rsidP="009E6E04">
      <w:pPr>
        <w:numPr>
          <w:ilvl w:val="0"/>
          <w:numId w:val="4"/>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the application form for increasing hedging position limit, which mainly includes the applicant's basic information, products and quantities applied and other information required by the Exchange;</w:t>
      </w:r>
    </w:p>
    <w:p w:rsidR="009E6E04" w:rsidRDefault="009E6E04" w:rsidP="009E6E04">
      <w:pPr>
        <w:numPr>
          <w:ilvl w:val="0"/>
          <w:numId w:val="4"/>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 xml:space="preserve">certification materials and statement of the intended usage of the physical commercials that the applicant holds or proposes to hold; </w:t>
      </w:r>
    </w:p>
    <w:p w:rsidR="009E6E04" w:rsidRDefault="009E6E04" w:rsidP="009E6E04">
      <w:pPr>
        <w:numPr>
          <w:ilvl w:val="0"/>
          <w:numId w:val="4"/>
        </w:numPr>
        <w:adjustRightInd w:val="0"/>
        <w:snapToGrid w:val="0"/>
        <w:spacing w:before="200" w:line="288" w:lineRule="auto"/>
        <w:ind w:left="1843" w:hanging="567"/>
        <w:rPr>
          <w:rFonts w:ascii="Times New Roman" w:hAnsi="Times New Roman"/>
          <w:sz w:val="24"/>
          <w:szCs w:val="24"/>
        </w:rPr>
      </w:pPr>
      <w:r>
        <w:rPr>
          <w:rFonts w:ascii="Times New Roman" w:hAnsi="Times New Roman"/>
          <w:sz w:val="24"/>
          <w:szCs w:val="24"/>
        </w:rPr>
        <w:t>the physicals operating performance of the products applied for the recent one (1) year, and the physical operation plans during the hedging period; and</w:t>
      </w:r>
    </w:p>
    <w:p w:rsidR="009E6E04" w:rsidRDefault="009E6E04" w:rsidP="009E6E04">
      <w:pPr>
        <w:numPr>
          <w:ilvl w:val="0"/>
          <w:numId w:val="4"/>
        </w:numPr>
        <w:adjustRightInd w:val="0"/>
        <w:snapToGrid w:val="0"/>
        <w:spacing w:before="200" w:line="288" w:lineRule="auto"/>
        <w:ind w:left="1843" w:hanging="567"/>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materials required by the Exchange.</w:t>
      </w:r>
    </w:p>
    <w:p w:rsidR="009E6E04" w:rsidRDefault="009E6E04" w:rsidP="009E6E04">
      <w:pPr>
        <w:adjustRightInd w:val="0"/>
        <w:snapToGrid w:val="0"/>
        <w:spacing w:before="200" w:line="288" w:lineRule="auto"/>
        <w:ind w:left="1259"/>
        <w:rPr>
          <w:rFonts w:ascii="Times New Roman" w:eastAsia="仿宋_GB2312" w:hAnsi="Times New Roman"/>
          <w:sz w:val="24"/>
          <w:szCs w:val="24"/>
        </w:rPr>
      </w:pPr>
      <w:r>
        <w:rPr>
          <w:rFonts w:ascii="Times New Roman" w:hAnsi="Times New Roman"/>
          <w:sz w:val="24"/>
          <w:szCs w:val="24"/>
        </w:rPr>
        <w:t>The applicant does not need to re-submit the above materials that have been submitted to the Exchange before if there is no change to such materials.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closing date for the application for hedging position increase of the general months shall be the last trading day of the second month preceding the hedging contract delivery month. Overdue applications with respect to such contract will not be accepted by the Exchange. The applicant may apply for hedging position increase of the general months for more than one contract once a time.</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The closing date for the application for hedging position increase of the delivery months shall be the last trading day of the first month preceding the hedging contract delivery month. Overdue applications with respect to such contract will not be accepted by the Exchange.</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 xml:space="preserve">With respect to the application for hedging position limit increase of the general months, the Exchange shall determine the increase amount based </w:t>
      </w:r>
      <w:r>
        <w:rPr>
          <w:rFonts w:ascii="Times New Roman" w:hAnsi="Times New Roman"/>
          <w:sz w:val="24"/>
          <w:szCs w:val="24"/>
        </w:rPr>
        <w:lastRenderedPageBreak/>
        <w:t>on whether the applicant is qualified for such application, and whether the hedging products, trading positions, trading volume and hedging period are suitable for the product and operation scales, historical operating status, financial position, etc.</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With respect to the application for hedging position limit increase of the delivery months, the Exchange shall determine the increase amount based on the applicant's trading positions and volume, operation status of the underlying physicals, position status of such contracts, quantities of deliverables, and price deviation between the futures and the underlying physicals.</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The hedging position increase amount shall not exceed the amount applied in the hedge certifying materials submitted by the applicant. The total of the hedging positions of futures or options of the general months of the applicant in all contract months during the whole year shall not exceed its production capacity or production plan of that year.</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With respect to the application for hedging position limit increase of the general months, the Exchange shall examine the application materials and reply within five (5) working days upon receipt of the complete application materials. For application to increase the hedging position amount of the delivery months, after receipt of the complete application materials, the Exchange shall conduct examination as of the first trading day of the first month preceding the contract delivery month, and reply within five (5) trading days.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Exchange may adjust the margins and commission charges standards of hedge trading of all or part of the products and the contracts.</w:t>
      </w:r>
    </w:p>
    <w:p w:rsidR="009E6E04" w:rsidRDefault="009E6E04" w:rsidP="009E6E04">
      <w:pPr>
        <w:adjustRightInd w:val="0"/>
        <w:snapToGrid w:val="0"/>
        <w:spacing w:before="200" w:line="288" w:lineRule="auto"/>
        <w:jc w:val="center"/>
        <w:rPr>
          <w:rFonts w:ascii="Times New Roman" w:hAnsi="Times New Roman"/>
          <w:b/>
          <w:bCs/>
          <w:sz w:val="24"/>
          <w:szCs w:val="24"/>
        </w:rPr>
      </w:pPr>
      <w:r>
        <w:rPr>
          <w:rFonts w:ascii="Times New Roman" w:hAnsi="Times New Roman"/>
          <w:b/>
          <w:bCs/>
          <w:sz w:val="24"/>
          <w:szCs w:val="24"/>
        </w:rPr>
        <w:t>Chapter IV Supervision and Management</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Exchange may conduct supervision and investigation from time to time with respect to information provided by Non-Futures Company Members, OSNBPs and clients concerning their production and operation status, credit standing, trading of futures, options and physicals. The Non-Futures Company Members, OSNBPs and clients shall provide assistance and cooperation with such supervision and inspection.</w:t>
      </w:r>
    </w:p>
    <w:p w:rsidR="009E6E04" w:rsidRDefault="009E6E04" w:rsidP="009E6E04">
      <w:pPr>
        <w:adjustRightInd w:val="0"/>
        <w:snapToGrid w:val="0"/>
        <w:spacing w:before="200" w:line="288" w:lineRule="auto"/>
        <w:ind w:left="1259"/>
        <w:rPr>
          <w:rFonts w:ascii="Times New Roman" w:hAnsi="Times New Roman"/>
          <w:sz w:val="24"/>
          <w:szCs w:val="24"/>
        </w:rPr>
      </w:pPr>
      <w:r>
        <w:rPr>
          <w:rFonts w:ascii="Times New Roman" w:hAnsi="Times New Roman"/>
          <w:sz w:val="24"/>
          <w:szCs w:val="24"/>
        </w:rPr>
        <w:t>The Exchange may order the Non-Futures Company Members, the OSNBPs and the clients qualified for hedge trading to report their trading status of physicals, futures and options.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Exchange shall supervise and manage the hedge trading of Non-Futures Company Members, OSNBPs and clients.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lastRenderedPageBreak/>
        <w:t>The Non-Futures Company Members, OSNBPs and the clients qualified for hedge trading shall promptly report to the Exchange any material change of the enterprise and/or any other event that may adversely affect their hedge trading qualifications. Where they need to adjust their hedging positions limit, the Non-Futures Company Members, OSNBPs and the clients shall file an application with the Exchange in a timely manner.</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Exchange may adjust the hedge trading qualifications and the increase of hedging position limit of Non-Futures Company Members, OSNBPs and clients based on market situation and the production and operation status of the hedging enterprises.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For the purpose of mitigating and preventing the market risks, where the Exchange is to exercise position reduction in accordance with relevant rules, the speculative positions shall be reduced prior to the hedging positions.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In case the total of hedging positions and speculative positions of Non-Futures Company Members, OSNBPs and clients exceed the limit prescribed by the Exchange, they shall adjust their positions prior to the ending of the second session trading of the immediately following trading day. If they fail to make such adjustment in due course or fail to meet the relevant requirements even after the adjustment, the Exchange may implement forced position liquidation.</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In case any Non-Futures Company Members, OSNBPs or clients qualified for hedge trading adversely affect or attempt to affect the market price by frequently opening and closing positions, the Exchange may arrange for regulatory talk, issue written warning, adjust or cancel their hedging position quota increase, revoke their hedge trading qualifications; and, if necessary, take such actions as position opening suspension, close-out within designated time limit, forced position liquidation, etc. The Exchange shall also take actions against the wrongdoing party in accordance with the</w:t>
      </w:r>
      <w:r>
        <w:rPr>
          <w:rFonts w:ascii="Times New Roman" w:hAnsi="Times New Roman"/>
          <w:i/>
          <w:iCs/>
          <w:sz w:val="24"/>
          <w:szCs w:val="24"/>
        </w:rPr>
        <w:t xml:space="preserve"> Measures against Rule Violation of Dalian Commodity Exchange.</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 xml:space="preserve">In case any fraudulence or other violations of the Exchange rules are found during the process of any Non-Futures Company Member, OSNBP or client's application for hedge trading qualification or hedging position limit increase or during its hedge trading, the Exchange may reject its application for hedging position limit increase, adjust or cancel the previously granted hedging position limit increase, revoke its hedge trading qualification; and if necessary, take such actions as position opening suspension, close-out within designated time limit, forced </w:t>
      </w:r>
      <w:r>
        <w:rPr>
          <w:rFonts w:ascii="Times New Roman" w:hAnsi="Times New Roman"/>
          <w:sz w:val="24"/>
          <w:szCs w:val="24"/>
        </w:rPr>
        <w:lastRenderedPageBreak/>
        <w:t>position liquidation, etc. The Exchange shall also take actions against the wrongdoing party in accordance with the</w:t>
      </w:r>
      <w:r>
        <w:rPr>
          <w:rFonts w:ascii="Times New Roman" w:hAnsi="Times New Roman"/>
          <w:i/>
          <w:iCs/>
          <w:sz w:val="24"/>
          <w:szCs w:val="24"/>
        </w:rPr>
        <w:t xml:space="preserve"> Measures against Rule Violation of Dalian Commodity Exchange.</w:t>
      </w:r>
    </w:p>
    <w:p w:rsidR="009E6E04" w:rsidRDefault="009E6E04" w:rsidP="009E6E04">
      <w:pPr>
        <w:adjustRightInd w:val="0"/>
        <w:snapToGrid w:val="0"/>
        <w:spacing w:before="200" w:line="288" w:lineRule="auto"/>
        <w:jc w:val="center"/>
        <w:rPr>
          <w:rFonts w:ascii="Times New Roman" w:hAnsi="Times New Roman"/>
          <w:b/>
          <w:bCs/>
          <w:sz w:val="24"/>
          <w:szCs w:val="24"/>
        </w:rPr>
      </w:pPr>
      <w:r>
        <w:rPr>
          <w:rFonts w:ascii="Times New Roman" w:hAnsi="Times New Roman"/>
          <w:b/>
          <w:bCs/>
          <w:sz w:val="24"/>
          <w:szCs w:val="24"/>
        </w:rPr>
        <w:t>Chapter V Supplementary Provisions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Exchange reserves the right to interpret the Measures.</w:t>
      </w:r>
    </w:p>
    <w:p w:rsidR="009E6E04" w:rsidRDefault="009E6E04" w:rsidP="009E6E04">
      <w:pPr>
        <w:numPr>
          <w:ilvl w:val="0"/>
          <w:numId w:val="1"/>
        </w:numPr>
        <w:adjustRightInd w:val="0"/>
        <w:snapToGrid w:val="0"/>
        <w:spacing w:before="200" w:line="288" w:lineRule="auto"/>
        <w:rPr>
          <w:rFonts w:ascii="Times New Roman" w:hAnsi="Times New Roman"/>
          <w:sz w:val="24"/>
          <w:szCs w:val="24"/>
        </w:rPr>
      </w:pPr>
      <w:r>
        <w:rPr>
          <w:rFonts w:ascii="Times New Roman" w:hAnsi="Times New Roman"/>
          <w:sz w:val="24"/>
          <w:szCs w:val="24"/>
        </w:rPr>
        <w:t>The Measures shall come into force on the date of promulgation.</w:t>
      </w:r>
    </w:p>
    <w:p w:rsidR="009E6E04" w:rsidRDefault="009E6E04" w:rsidP="009E6E04">
      <w:pPr>
        <w:adjustRightInd w:val="0"/>
        <w:snapToGrid w:val="0"/>
        <w:spacing w:before="200" w:line="288" w:lineRule="auto"/>
        <w:rPr>
          <w:rFonts w:ascii="Times New Roman" w:hAnsi="Times New Roman"/>
          <w:sz w:val="24"/>
          <w:szCs w:val="24"/>
        </w:rPr>
      </w:pPr>
      <w:r>
        <w:rPr>
          <w:rFonts w:ascii="Times New Roman" w:hAnsi="Times New Roman"/>
          <w:sz w:val="24"/>
          <w:szCs w:val="24"/>
        </w:rPr>
        <w:t xml:space="preserve"> </w:t>
      </w:r>
    </w:p>
    <w:p w:rsidR="009E6E04" w:rsidRDefault="009E6E04" w:rsidP="009E6E04">
      <w:pPr>
        <w:pStyle w:val="a5"/>
        <w:shd w:val="clear" w:color="auto" w:fill="FFFFFF"/>
        <w:adjustRightInd w:val="0"/>
        <w:snapToGrid w:val="0"/>
        <w:spacing w:before="200" w:beforeAutospacing="0" w:after="0" w:afterAutospacing="0" w:line="288" w:lineRule="auto"/>
        <w:jc w:val="both"/>
        <w:rPr>
          <w:rFonts w:ascii="Times New Roman" w:hAnsi="Times New Roman" w:cs="Times New Roman"/>
        </w:rPr>
      </w:pPr>
      <w:r>
        <w:rPr>
          <w:rFonts w:ascii="Times New Roman" w:hAnsi="Times New Roman" w:cs="Times New Roman"/>
          <w:b/>
          <w:bCs/>
          <w:i/>
          <w:iCs/>
        </w:rPr>
        <w:t>Disclaimer</w:t>
      </w: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i/>
          <w:iCs/>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046D99" w:rsidRPr="009E6E04" w:rsidRDefault="00046D99" w:rsidP="009E6E04">
      <w:pPr>
        <w:jc w:val="left"/>
        <w:rPr>
          <w:rFonts w:ascii="Times New Roman" w:eastAsia="仿宋_GB2312" w:hAnsi="Times New Roman" w:hint="eastAsia"/>
          <w:bCs/>
          <w:sz w:val="24"/>
          <w:szCs w:val="24"/>
        </w:rPr>
      </w:pPr>
      <w:bookmarkStart w:id="0" w:name="_GoBack"/>
      <w:bookmarkEnd w:id="0"/>
    </w:p>
    <w:sectPr w:rsidR="00046D99" w:rsidRPr="009E6E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E40"/>
    <w:multiLevelType w:val="multilevel"/>
    <w:tmpl w:val="03701E40"/>
    <w:lvl w:ilvl="0">
      <w:start w:val="1"/>
      <w:numFmt w:val="decimal"/>
      <w:lvlText w:val="Article %1"/>
      <w:lvlJc w:val="left"/>
      <w:pPr>
        <w:ind w:left="1259" w:hanging="1259"/>
      </w:pPr>
      <w:rPr>
        <w:rFonts w:ascii="Times New Roman" w:hAnsi="Times New Roman" w:cs="Times New Roman" w:hint="default"/>
        <w:b/>
        <w:bCs/>
        <w:i w:val="0"/>
        <w:iCs w:val="0"/>
      </w:rPr>
    </w:lvl>
    <w:lvl w:ilvl="1">
      <w:start w:val="1"/>
      <w:numFmt w:val="decimal"/>
      <w:lvlText w:val="(%2)"/>
      <w:lvlJc w:val="left"/>
      <w:pPr>
        <w:ind w:left="820" w:hanging="400"/>
      </w:pPr>
      <w:rPr>
        <w:rFonts w:ascii="Times New Roman" w:hAnsi="Times New Roman" w:cs="Times New Roman" w:hint="default"/>
      </w:rPr>
    </w:lvl>
    <w:lvl w:ilvl="2">
      <w:start w:val="1"/>
      <w:numFmt w:val="lowerRoman"/>
      <w:lvlText w:val="%3."/>
      <w:lvlJc w:val="right"/>
      <w:pPr>
        <w:ind w:left="1260" w:hanging="420"/>
      </w:pPr>
      <w:rPr>
        <w:rFonts w:ascii="宋体" w:eastAsia="宋体" w:hAnsi="宋体" w:hint="eastAsia"/>
      </w:rPr>
    </w:lvl>
    <w:lvl w:ilvl="3">
      <w:start w:val="1"/>
      <w:numFmt w:val="decimal"/>
      <w:lvlText w:val="%4."/>
      <w:lvlJc w:val="left"/>
      <w:pPr>
        <w:ind w:left="1680" w:hanging="420"/>
      </w:pPr>
      <w:rPr>
        <w:rFonts w:ascii="宋体" w:eastAsia="宋体" w:hAnsi="宋体" w:hint="eastAsia"/>
      </w:rPr>
    </w:lvl>
    <w:lvl w:ilvl="4">
      <w:start w:val="1"/>
      <w:numFmt w:val="lowerLetter"/>
      <w:lvlText w:val="%5)"/>
      <w:lvlJc w:val="left"/>
      <w:pPr>
        <w:ind w:left="2100" w:hanging="420"/>
      </w:pPr>
      <w:rPr>
        <w:rFonts w:ascii="宋体" w:eastAsia="宋体" w:hAnsi="宋体" w:hint="eastAsia"/>
      </w:rPr>
    </w:lvl>
    <w:lvl w:ilvl="5">
      <w:start w:val="1"/>
      <w:numFmt w:val="lowerRoman"/>
      <w:lvlText w:val="%6."/>
      <w:lvlJc w:val="right"/>
      <w:pPr>
        <w:ind w:left="2520" w:hanging="420"/>
      </w:pPr>
      <w:rPr>
        <w:rFonts w:ascii="宋体" w:eastAsia="宋体" w:hAnsi="宋体" w:hint="eastAsia"/>
      </w:rPr>
    </w:lvl>
    <w:lvl w:ilvl="6">
      <w:start w:val="1"/>
      <w:numFmt w:val="decimal"/>
      <w:lvlText w:val="%7."/>
      <w:lvlJc w:val="left"/>
      <w:pPr>
        <w:ind w:left="2940" w:hanging="420"/>
      </w:pPr>
      <w:rPr>
        <w:rFonts w:ascii="宋体" w:eastAsia="宋体" w:hAnsi="宋体" w:hint="eastAsia"/>
      </w:rPr>
    </w:lvl>
    <w:lvl w:ilvl="7">
      <w:start w:val="1"/>
      <w:numFmt w:val="lowerLetter"/>
      <w:lvlText w:val="%8)"/>
      <w:lvlJc w:val="left"/>
      <w:pPr>
        <w:ind w:left="3360" w:hanging="420"/>
      </w:pPr>
      <w:rPr>
        <w:rFonts w:ascii="宋体" w:eastAsia="宋体" w:hAnsi="宋体" w:hint="eastAsia"/>
      </w:rPr>
    </w:lvl>
    <w:lvl w:ilvl="8">
      <w:start w:val="1"/>
      <w:numFmt w:val="lowerRoman"/>
      <w:lvlText w:val="%9."/>
      <w:lvlJc w:val="right"/>
      <w:pPr>
        <w:ind w:left="3780" w:hanging="420"/>
      </w:pPr>
      <w:rPr>
        <w:rFonts w:ascii="宋体" w:eastAsia="宋体" w:hAnsi="宋体" w:hint="eastAsia"/>
      </w:rPr>
    </w:lvl>
  </w:abstractNum>
  <w:abstractNum w:abstractNumId="1" w15:restartNumberingAfterBreak="0">
    <w:nsid w:val="11B341FD"/>
    <w:multiLevelType w:val="multilevel"/>
    <w:tmpl w:val="11B341FD"/>
    <w:lvl w:ilvl="0">
      <w:start w:val="1"/>
      <w:numFmt w:val="decimal"/>
      <w:lvlText w:val="(%1)"/>
      <w:lvlJc w:val="left"/>
      <w:pPr>
        <w:ind w:left="1679" w:hanging="420"/>
      </w:pPr>
      <w:rPr>
        <w:rFonts w:ascii="Times New Roman" w:eastAsia="宋体" w:hAnsi="Times New Roman" w:cs="Times New Roman" w:hint="default"/>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abstractNum w:abstractNumId="2" w15:restartNumberingAfterBreak="0">
    <w:nsid w:val="5BC320CC"/>
    <w:multiLevelType w:val="multilevel"/>
    <w:tmpl w:val="5BC320CC"/>
    <w:lvl w:ilvl="0">
      <w:start w:val="1"/>
      <w:numFmt w:val="decimal"/>
      <w:lvlText w:val="(%1)"/>
      <w:lvlJc w:val="left"/>
      <w:pPr>
        <w:ind w:left="1679" w:hanging="420"/>
      </w:pPr>
      <w:rPr>
        <w:rFonts w:ascii="Times New Roman" w:eastAsia="宋体" w:hAnsi="Times New Roman" w:cs="Times New Roman" w:hint="default"/>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abstractNum w:abstractNumId="3" w15:restartNumberingAfterBreak="0">
    <w:nsid w:val="621D372A"/>
    <w:multiLevelType w:val="multilevel"/>
    <w:tmpl w:val="621D372A"/>
    <w:lvl w:ilvl="0">
      <w:start w:val="1"/>
      <w:numFmt w:val="decimal"/>
      <w:lvlText w:val="(%1)"/>
      <w:lvlJc w:val="left"/>
      <w:pPr>
        <w:ind w:left="1679" w:hanging="420"/>
      </w:pPr>
      <w:rPr>
        <w:rFonts w:ascii="Times New Roman" w:eastAsia="宋体" w:hAnsi="Times New Roman" w:cs="Times New Roman" w:hint="default"/>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4"/>
    <w:rsid w:val="00046D99"/>
    <w:rsid w:val="009E6E04"/>
    <w:rsid w:val="00CB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CA2D"/>
  <w15:chartTrackingRefBased/>
  <w15:docId w15:val="{DF48357F-7774-47AB-835B-1287D708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出段落 字符"/>
    <w:link w:val="a4"/>
    <w:uiPriority w:val="34"/>
    <w:qFormat/>
    <w:rsid w:val="009E6E04"/>
    <w:rPr>
      <w:rFonts w:ascii="Calibri" w:eastAsia="宋体" w:hAnsi="Calibri" w:cs="Calibri"/>
      <w:szCs w:val="21"/>
    </w:rPr>
  </w:style>
  <w:style w:type="paragraph" w:styleId="a5">
    <w:name w:val="Normal (Web)"/>
    <w:basedOn w:val="a"/>
    <w:uiPriority w:val="99"/>
    <w:unhideWhenUsed/>
    <w:qFormat/>
    <w:rsid w:val="009E6E04"/>
    <w:pPr>
      <w:widowControl/>
      <w:spacing w:before="100" w:beforeAutospacing="1" w:after="100" w:afterAutospacing="1"/>
      <w:jc w:val="left"/>
    </w:pPr>
    <w:rPr>
      <w:rFonts w:ascii="宋体" w:hAnsi="宋体" w:cs="宋体"/>
      <w:kern w:val="0"/>
      <w:sz w:val="24"/>
      <w:szCs w:val="24"/>
    </w:rPr>
  </w:style>
  <w:style w:type="paragraph" w:styleId="a4">
    <w:name w:val="List Paragraph"/>
    <w:basedOn w:val="a"/>
    <w:link w:val="a3"/>
    <w:uiPriority w:val="34"/>
    <w:qFormat/>
    <w:rsid w:val="009E6E04"/>
    <w:pPr>
      <w:widowControl/>
      <w:ind w:firstLineChars="200" w:firstLine="42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2022-03-21T07:31:00Z</dcterms:created>
  <dcterms:modified xsi:type="dcterms:W3CDTF">2022-03-21T07:31:00Z</dcterms:modified>
</cp:coreProperties>
</file>