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36" w:rsidRDefault="00490936" w:rsidP="00490936">
      <w:pPr>
        <w:spacing w:before="200" w:line="288" w:lineRule="auto"/>
        <w:jc w:val="center"/>
        <w:outlineLvl w:val="1"/>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Measures for Administration of Abnormal Trading of Dalian Commodity Exchange (For Trial Implementation) </w:t>
      </w:r>
    </w:p>
    <w:p w:rsidR="00490936" w:rsidRDefault="00490936" w:rsidP="00490936">
      <w:pPr>
        <w:spacing w:before="200" w:line="288" w:lineRule="auto"/>
        <w:jc w:val="center"/>
        <w:outlineLvl w:val="1"/>
        <w:rPr>
          <w:rFonts w:ascii="Times New Roman" w:eastAsia="宋体" w:hAnsi="Times New Roman" w:cs="Times New Roman"/>
          <w:b/>
          <w:bCs/>
          <w:kern w:val="0"/>
          <w:sz w:val="24"/>
          <w:szCs w:val="24"/>
        </w:rPr>
      </w:pPr>
      <w:bookmarkStart w:id="0" w:name="_GoBack"/>
      <w:bookmarkEnd w:id="0"/>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sz w:val="24"/>
          <w:szCs w:val="24"/>
        </w:rPr>
        <w:t>T</w:t>
      </w:r>
      <w:r>
        <w:rPr>
          <w:rFonts w:ascii="Times New Roman" w:hAnsi="Times New Roman" w:cs="Times New Roman"/>
          <w:kern w:val="0"/>
          <w:sz w:val="24"/>
          <w:szCs w:val="24"/>
        </w:rPr>
        <w:t>he</w:t>
      </w:r>
      <w:r>
        <w:rPr>
          <w:rFonts w:ascii="Times New Roman" w:hAnsi="Times New Roman" w:cs="Times New Roman"/>
          <w:sz w:val="24"/>
          <w:szCs w:val="24"/>
        </w:rPr>
        <w:t xml:space="preserve"> </w:t>
      </w:r>
      <w:r>
        <w:rPr>
          <w:rFonts w:ascii="Times New Roman" w:hAnsi="Times New Roman" w:cs="Times New Roman"/>
          <w:kern w:val="0"/>
          <w:sz w:val="24"/>
          <w:szCs w:val="24"/>
        </w:rPr>
        <w:t>Measures for Administration of Abnormal Trading of Dalian Commodity Exchange (For Trial Implementation) (the "</w:t>
      </w:r>
      <w:r>
        <w:rPr>
          <w:rFonts w:ascii="Times New Roman" w:hAnsi="Times New Roman" w:cs="Times New Roman"/>
          <w:b/>
          <w:kern w:val="0"/>
          <w:sz w:val="24"/>
          <w:szCs w:val="24"/>
        </w:rPr>
        <w:t>Measures</w:t>
      </w:r>
      <w:r>
        <w:rPr>
          <w:rFonts w:ascii="Times New Roman" w:hAnsi="Times New Roman" w:cs="Times New Roman"/>
          <w:kern w:val="0"/>
          <w:sz w:val="24"/>
          <w:szCs w:val="24"/>
        </w:rPr>
        <w:t>") are formulated in accordance with the</w:t>
      </w:r>
      <w:r>
        <w:rPr>
          <w:rFonts w:ascii="Times New Roman" w:hAnsi="Times New Roman" w:cs="Times New Roman"/>
          <w:i/>
          <w:kern w:val="0"/>
          <w:sz w:val="24"/>
          <w:szCs w:val="24"/>
        </w:rPr>
        <w:t xml:space="preserve"> Trading Rules of Dalian Commodity Exchange</w:t>
      </w:r>
      <w:r>
        <w:rPr>
          <w:rFonts w:ascii="Times New Roman" w:hAnsi="Times New Roman" w:cs="Times New Roman"/>
          <w:kern w:val="0"/>
          <w:sz w:val="24"/>
          <w:szCs w:val="24"/>
        </w:rPr>
        <w:t>, the</w:t>
      </w:r>
      <w:r>
        <w:rPr>
          <w:rFonts w:ascii="Times New Roman" w:hAnsi="Times New Roman" w:cs="Times New Roman"/>
          <w:i/>
          <w:kern w:val="0"/>
          <w:sz w:val="24"/>
          <w:szCs w:val="24"/>
        </w:rPr>
        <w:t xml:space="preserve"> Measures for Membership Management of Dalian Commodity Exchange</w:t>
      </w:r>
      <w:r>
        <w:rPr>
          <w:rFonts w:ascii="Times New Roman" w:hAnsi="Times New Roman" w:cs="Times New Roman"/>
          <w:kern w:val="0"/>
          <w:sz w:val="24"/>
          <w:szCs w:val="24"/>
        </w:rPr>
        <w:t xml:space="preserve">, the </w:t>
      </w:r>
      <w:r>
        <w:rPr>
          <w:rFonts w:ascii="Times New Roman" w:hAnsi="Times New Roman" w:cs="Times New Roman"/>
          <w:i/>
          <w:kern w:val="0"/>
          <w:sz w:val="24"/>
          <w:szCs w:val="24"/>
        </w:rPr>
        <w:t>Measures for Risk Management of Dalian Commodity Exchange</w:t>
      </w:r>
      <w:r>
        <w:rPr>
          <w:rFonts w:ascii="Times New Roman" w:hAnsi="Times New Roman" w:cs="Times New Roman"/>
          <w:kern w:val="0"/>
          <w:sz w:val="24"/>
          <w:szCs w:val="24"/>
        </w:rPr>
        <w:t>, and the</w:t>
      </w:r>
      <w:r>
        <w:rPr>
          <w:rFonts w:ascii="Times New Roman" w:hAnsi="Times New Roman" w:cs="Times New Roman"/>
          <w:sz w:val="24"/>
          <w:szCs w:val="24"/>
        </w:rPr>
        <w:t xml:space="preserve"> </w:t>
      </w:r>
      <w:r>
        <w:rPr>
          <w:rFonts w:ascii="Times New Roman" w:hAnsi="Times New Roman" w:cs="Times New Roman"/>
          <w:i/>
          <w:sz w:val="24"/>
          <w:szCs w:val="24"/>
        </w:rPr>
        <w:t xml:space="preserve">Measures against Rule Violations of Dalian Commodity Exchange </w:t>
      </w:r>
      <w:r>
        <w:rPr>
          <w:rFonts w:ascii="Times New Roman" w:hAnsi="Times New Roman" w:cs="Times New Roman"/>
          <w:sz w:val="24"/>
          <w:szCs w:val="24"/>
        </w:rPr>
        <w:t>and other relevant rules</w:t>
      </w:r>
      <w:r>
        <w:rPr>
          <w:rFonts w:ascii="Times New Roman" w:hAnsi="Times New Roman" w:cs="Times New Roman"/>
          <w:kern w:val="0"/>
          <w:sz w:val="24"/>
          <w:szCs w:val="24"/>
        </w:rPr>
        <w:t xml:space="preserve"> in order to regulate futures trading practices, protect the lawfully rights and interests of </w:t>
      </w:r>
      <w:r>
        <w:rPr>
          <w:rFonts w:ascii="Times New Roman" w:hAnsi="Times New Roman" w:cs="Times New Roman"/>
          <w:sz w:val="24"/>
          <w:szCs w:val="24"/>
        </w:rPr>
        <w:t>the parties to</w:t>
      </w:r>
      <w:r>
        <w:rPr>
          <w:rFonts w:ascii="Times New Roman" w:hAnsi="Times New Roman" w:cs="Times New Roman"/>
          <w:kern w:val="0"/>
          <w:sz w:val="24"/>
          <w:szCs w:val="24"/>
        </w:rPr>
        <w:t xml:space="preserve"> futures trading and maintain an orderly futures market. </w:t>
      </w:r>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kern w:val="0"/>
          <w:sz w:val="24"/>
          <w:szCs w:val="24"/>
        </w:rPr>
        <w:t>The Exchange will monitor the futures trading and shall have the right to take appropriate regulatory actions or impose disciplinary punishment against the relevant Futures Company Member, the Overseas Special Participant (the "</w:t>
      </w:r>
      <w:r>
        <w:rPr>
          <w:rFonts w:ascii="Times New Roman" w:hAnsi="Times New Roman" w:cs="Times New Roman"/>
          <w:b/>
          <w:bCs/>
          <w:kern w:val="0"/>
          <w:sz w:val="24"/>
          <w:szCs w:val="24"/>
        </w:rPr>
        <w:t>OSP</w:t>
      </w:r>
      <w:r>
        <w:rPr>
          <w:rFonts w:ascii="Times New Roman" w:hAnsi="Times New Roman" w:cs="Times New Roman"/>
          <w:kern w:val="0"/>
          <w:sz w:val="24"/>
          <w:szCs w:val="24"/>
        </w:rPr>
        <w:t>"), Overseas Intermediary, Non-Futures Company Members and/or clients in case of any abnormal circumstances in futures trading.</w:t>
      </w:r>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kern w:val="0"/>
          <w:sz w:val="24"/>
          <w:szCs w:val="24"/>
        </w:rPr>
        <w:t xml:space="preserve">The Futures Company Members, </w:t>
      </w:r>
      <w:bookmarkStart w:id="1" w:name="_Hlk59807376"/>
      <w:r>
        <w:rPr>
          <w:rFonts w:ascii="Times New Roman" w:hAnsi="Times New Roman" w:cs="Times New Roman"/>
          <w:kern w:val="0"/>
          <w:sz w:val="24"/>
          <w:szCs w:val="24"/>
        </w:rPr>
        <w:t>Overseas Special Brokerage Participants (the "</w:t>
      </w:r>
      <w:r>
        <w:rPr>
          <w:rFonts w:ascii="Times New Roman" w:hAnsi="Times New Roman" w:cs="Times New Roman"/>
          <w:b/>
          <w:bCs/>
          <w:kern w:val="0"/>
          <w:sz w:val="24"/>
          <w:szCs w:val="24"/>
        </w:rPr>
        <w:t>OSBPs</w:t>
      </w:r>
      <w:r>
        <w:rPr>
          <w:rFonts w:ascii="Times New Roman" w:hAnsi="Times New Roman" w:cs="Times New Roman"/>
          <w:kern w:val="0"/>
          <w:sz w:val="24"/>
          <w:szCs w:val="24"/>
        </w:rPr>
        <w:t>")</w:t>
      </w:r>
      <w:bookmarkEnd w:id="1"/>
      <w:r>
        <w:rPr>
          <w:rFonts w:ascii="Times New Roman" w:hAnsi="Times New Roman" w:cs="Times New Roman"/>
          <w:kern w:val="0"/>
          <w:sz w:val="24"/>
          <w:szCs w:val="24"/>
        </w:rPr>
        <w:t xml:space="preserve"> and the </w:t>
      </w:r>
      <w:r>
        <w:rPr>
          <w:rFonts w:ascii="Times New Roman" w:hAnsi="Times New Roman" w:cs="Times New Roman"/>
          <w:bCs/>
          <w:kern w:val="0"/>
          <w:sz w:val="24"/>
          <w:szCs w:val="24"/>
        </w:rPr>
        <w:t>Overseas Intermediaries</w:t>
      </w:r>
      <w:r>
        <w:rPr>
          <w:rFonts w:ascii="Times New Roman" w:hAnsi="Times New Roman" w:cs="Times New Roman"/>
          <w:kern w:val="0"/>
          <w:sz w:val="24"/>
          <w:szCs w:val="24"/>
        </w:rPr>
        <w:t xml:space="preserve"> shall duly supervise the trading activities of their clients; discover, report and stop any abnormal trading behaviors of the clients in a timely manner; and shall not indulge, induce, encourage or support any client to engage in abnormal trading.</w:t>
      </w:r>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kern w:val="0"/>
          <w:sz w:val="24"/>
          <w:szCs w:val="24"/>
        </w:rPr>
        <w:t>The Non-Futures Company Members, the Overseas Special Non-Brokerage Participants (the "</w:t>
      </w:r>
      <w:r>
        <w:rPr>
          <w:rFonts w:ascii="Times New Roman" w:hAnsi="Times New Roman" w:cs="Times New Roman"/>
          <w:b/>
          <w:bCs/>
          <w:kern w:val="0"/>
          <w:sz w:val="24"/>
          <w:szCs w:val="24"/>
        </w:rPr>
        <w:t>OSNBPs</w:t>
      </w:r>
      <w:r>
        <w:rPr>
          <w:rFonts w:ascii="Times New Roman" w:hAnsi="Times New Roman" w:cs="Times New Roman"/>
          <w:kern w:val="0"/>
          <w:sz w:val="24"/>
          <w:szCs w:val="24"/>
        </w:rPr>
        <w:t xml:space="preserve">") and clients engaging in futures trading shall comply with the laws, regulations and the rules of the Exchange, accept regulation by the Exchange and consciously regulate their trading activities. The clients shall additionally accept the administration of Futures Company Members, OSBPs and </w:t>
      </w:r>
      <w:r>
        <w:rPr>
          <w:rFonts w:ascii="Times New Roman" w:hAnsi="Times New Roman" w:cs="Times New Roman"/>
          <w:bCs/>
          <w:kern w:val="0"/>
          <w:sz w:val="24"/>
          <w:szCs w:val="24"/>
        </w:rPr>
        <w:t>Overseas Intermediaries</w:t>
      </w:r>
      <w:r>
        <w:rPr>
          <w:rFonts w:ascii="Times New Roman" w:hAnsi="Times New Roman" w:cs="Times New Roman"/>
          <w:kern w:val="0"/>
          <w:sz w:val="24"/>
          <w:szCs w:val="24"/>
        </w:rPr>
        <w:t xml:space="preserve"> on lawful trading and compliance.</w:t>
      </w:r>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kern w:val="0"/>
          <w:sz w:val="24"/>
          <w:szCs w:val="24"/>
        </w:rPr>
        <w:t>Any use of program trading shall be filed at the Exchange in advance. In case a Non-Futures Company Member, an OSNBP or a client places trading orders via program trading in a manner that may adversely affect system security or the normal trading order of the Exchange, the Exchange may take applicable restrictive actions.</w:t>
      </w:r>
    </w:p>
    <w:p w:rsidR="00490936" w:rsidRDefault="00490936" w:rsidP="00490936">
      <w:pPr>
        <w:adjustRightInd w:val="0"/>
        <w:snapToGrid w:val="0"/>
        <w:spacing w:before="200" w:line="288" w:lineRule="auto"/>
        <w:ind w:left="1259"/>
        <w:rPr>
          <w:rFonts w:ascii="Times New Roman" w:hAnsi="Times New Roman" w:cs="Times New Roman"/>
          <w:sz w:val="24"/>
          <w:szCs w:val="24"/>
        </w:rPr>
      </w:pPr>
      <w:r>
        <w:rPr>
          <w:rFonts w:ascii="Times New Roman" w:hAnsi="Times New Roman" w:cs="Times New Roman"/>
          <w:sz w:val="24"/>
          <w:szCs w:val="24"/>
        </w:rPr>
        <w:t xml:space="preserve">Program trading means a type of trading by which the computer automatically releases trading signals or places trading orders based on a </w:t>
      </w:r>
      <w:r>
        <w:rPr>
          <w:rFonts w:ascii="Times New Roman" w:hAnsi="Times New Roman" w:cs="Times New Roman"/>
          <w:sz w:val="24"/>
          <w:szCs w:val="24"/>
        </w:rPr>
        <w:lastRenderedPageBreak/>
        <w:t>pre-set trading model with the functions of quotations analysis, risk management and others.</w:t>
      </w:r>
    </w:p>
    <w:p w:rsidR="00490936" w:rsidRDefault="00490936" w:rsidP="00490936">
      <w:pPr>
        <w:numPr>
          <w:ilvl w:val="0"/>
          <w:numId w:val="1"/>
        </w:numPr>
        <w:adjustRightInd w:val="0"/>
        <w:snapToGrid w:val="0"/>
        <w:spacing w:before="200" w:line="288" w:lineRule="auto"/>
        <w:ind w:left="1259" w:hanging="1259"/>
        <w:rPr>
          <w:rFonts w:ascii="Times New Roman" w:hAnsi="Times New Roman" w:cs="Times New Roman"/>
          <w:kern w:val="0"/>
          <w:sz w:val="24"/>
          <w:szCs w:val="24"/>
        </w:rPr>
      </w:pPr>
      <w:r>
        <w:rPr>
          <w:rFonts w:ascii="Times New Roman" w:hAnsi="Times New Roman" w:cs="Times New Roman"/>
          <w:kern w:val="0"/>
          <w:sz w:val="24"/>
          <w:szCs w:val="24"/>
        </w:rPr>
        <w:t xml:space="preserve">Any of the following activities in futures trading shall be deemed as an abnormal trading behavior: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 xml:space="preserve">multiple trades between one's own accounts by acting as its own counterparty;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 xml:space="preserve">multiple trades within a group of accounts with actual control relationship as identified by the Exchange;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 xml:space="preserve">frequent submission and cancellation of orders;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 xml:space="preserve">cancellation of large-amount orders;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the aggregated positions within a group of accounts with actual control relationship as identified by the Exchange and having exceeded the position limit prescribed by the Exchange;</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r>
        <w:rPr>
          <w:rFonts w:ascii="Times New Roman" w:hAnsi="Times New Roman" w:cs="Times New Roman"/>
          <w:sz w:val="24"/>
          <w:szCs w:val="24"/>
        </w:rPr>
        <w:t xml:space="preserve">undermining system security or the normal trading order of the Exchange by using computer programs to automatically place batch orders or place orders rapidly; </w:t>
      </w:r>
    </w:p>
    <w:p w:rsidR="00490936" w:rsidRDefault="00490936" w:rsidP="00490936">
      <w:pPr>
        <w:pStyle w:val="a3"/>
        <w:widowControl/>
        <w:numPr>
          <w:ilvl w:val="1"/>
          <w:numId w:val="2"/>
        </w:numPr>
        <w:adjustRightInd w:val="0"/>
        <w:snapToGrid w:val="0"/>
        <w:spacing w:before="200" w:line="288" w:lineRule="auto"/>
        <w:ind w:left="1843" w:firstLineChars="0" w:hanging="584"/>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circumstances identified by the Exchange.</w:t>
      </w:r>
    </w:p>
    <w:p w:rsidR="00490936" w:rsidRDefault="00490936" w:rsidP="00490936">
      <w:pPr>
        <w:pStyle w:val="a3"/>
        <w:numPr>
          <w:ilvl w:val="0"/>
          <w:numId w:val="3"/>
        </w:numPr>
        <w:adjustRightInd w:val="0"/>
        <w:snapToGrid w:val="0"/>
        <w:spacing w:before="200" w:line="288" w:lineRule="auto"/>
        <w:ind w:left="1259" w:firstLineChars="0" w:hanging="1259"/>
        <w:rPr>
          <w:rFonts w:ascii="Times New Roman" w:hAnsi="Times New Roman" w:cs="Times New Roman"/>
          <w:kern w:val="0"/>
          <w:sz w:val="24"/>
          <w:szCs w:val="24"/>
        </w:rPr>
      </w:pPr>
      <w:r>
        <w:rPr>
          <w:rFonts w:ascii="Times New Roman" w:hAnsi="Times New Roman" w:cs="Times New Roman"/>
          <w:kern w:val="0"/>
          <w:sz w:val="24"/>
          <w:szCs w:val="24"/>
        </w:rPr>
        <w:t xml:space="preserve">The Futures Company Members, OSBPs and </w:t>
      </w:r>
      <w:r>
        <w:rPr>
          <w:rFonts w:ascii="Times New Roman" w:hAnsi="Times New Roman" w:cs="Times New Roman"/>
          <w:bCs/>
          <w:kern w:val="0"/>
          <w:sz w:val="24"/>
          <w:szCs w:val="24"/>
        </w:rPr>
        <w:t>Overseas Intermediaries</w:t>
      </w:r>
      <w:r>
        <w:rPr>
          <w:rFonts w:ascii="Times New Roman" w:hAnsi="Times New Roman" w:cs="Times New Roman"/>
          <w:kern w:val="0"/>
          <w:sz w:val="24"/>
          <w:szCs w:val="24"/>
        </w:rPr>
        <w:t xml:space="preserve"> shall closely monitor the trading activities of the clients, proactively prevent their clients from conducting any abnormal trading activity in futures trading, and guide them to conduct futures trading in a rational and compliant manner.</w:t>
      </w:r>
    </w:p>
    <w:p w:rsidR="00490936" w:rsidRDefault="00490936" w:rsidP="00490936">
      <w:pPr>
        <w:adjustRightInd w:val="0"/>
        <w:snapToGrid w:val="0"/>
        <w:spacing w:before="200" w:line="288" w:lineRule="auto"/>
        <w:ind w:left="1259"/>
        <w:rPr>
          <w:rFonts w:ascii="Times New Roman" w:eastAsia="宋体" w:hAnsi="Times New Roman" w:cs="Times New Roman"/>
          <w:kern w:val="0"/>
          <w:sz w:val="24"/>
          <w:szCs w:val="24"/>
        </w:rPr>
      </w:pPr>
      <w:r>
        <w:rPr>
          <w:rFonts w:ascii="Times New Roman" w:eastAsia="宋体" w:hAnsi="Times New Roman" w:cs="Times New Roman"/>
          <w:kern w:val="0"/>
          <w:sz w:val="24"/>
          <w:szCs w:val="24"/>
        </w:rPr>
        <w:t>If any Futures Company Member, OSBP or Overseas Intermediary discovers any abnormal trading behavior listed in Article 6 of the Measures conducted by a client during futures trading, it shall alert, dissuade and stop the client and promptly report to the Future Company Member and the Exchange.</w:t>
      </w:r>
    </w:p>
    <w:p w:rsidR="00490936" w:rsidRDefault="00490936" w:rsidP="00490936">
      <w:pPr>
        <w:pStyle w:val="a3"/>
        <w:numPr>
          <w:ilvl w:val="0"/>
          <w:numId w:val="3"/>
        </w:numPr>
        <w:adjustRightInd w:val="0"/>
        <w:snapToGrid w:val="0"/>
        <w:spacing w:before="200" w:line="288" w:lineRule="auto"/>
        <w:ind w:left="1259" w:firstLineChars="0" w:hanging="1259"/>
        <w:rPr>
          <w:rFonts w:ascii="Times New Roman" w:hAnsi="Times New Roman" w:cs="Times New Roman"/>
          <w:kern w:val="0"/>
          <w:sz w:val="24"/>
          <w:szCs w:val="24"/>
        </w:rPr>
      </w:pPr>
      <w:r>
        <w:rPr>
          <w:rFonts w:ascii="Times New Roman" w:hAnsi="Times New Roman" w:cs="Times New Roman"/>
          <w:kern w:val="0"/>
          <w:sz w:val="24"/>
          <w:szCs w:val="24"/>
        </w:rPr>
        <w:t>In case a client has any abnormal trading behavior listed in Article 6 and fails to cease the behavior after dissuasion and prevention, the Futures Company Member may take such actions as increasing trading margins, suspending position opening, implementing forced position liquidation and others.</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sz w:val="24"/>
          <w:szCs w:val="24"/>
        </w:rPr>
      </w:pPr>
      <w:r>
        <w:rPr>
          <w:rFonts w:ascii="Times New Roman" w:eastAsia="宋体" w:hAnsi="Times New Roman" w:cs="Times New Roman"/>
          <w:sz w:val="24"/>
          <w:szCs w:val="24"/>
        </w:rPr>
        <w:t xml:space="preserve">In case a Non-Futures Company Member, OSNBP or client has any abnormal trading behavior listed in Article 6, the Exchange can adopt regulatory actions including delivering telephone alert, requiring an </w:t>
      </w:r>
      <w:r>
        <w:rPr>
          <w:rFonts w:ascii="Times New Roman" w:eastAsia="宋体" w:hAnsi="Times New Roman" w:cs="Times New Roman"/>
          <w:sz w:val="24"/>
          <w:szCs w:val="24"/>
        </w:rPr>
        <w:lastRenderedPageBreak/>
        <w:t xml:space="preserve">explanatory report, requiring a written letter of commitment, adding to the list of key regulatory target. In severe circumstances, the Exchange may implement forced position liquidation, suspend position opening or take other regulatory actions in accordance with the </w:t>
      </w:r>
      <w:r>
        <w:rPr>
          <w:rFonts w:ascii="Times New Roman" w:eastAsia="宋体" w:hAnsi="Times New Roman" w:cs="Times New Roman"/>
          <w:i/>
          <w:sz w:val="24"/>
          <w:szCs w:val="24"/>
        </w:rPr>
        <w:t>Measures against Rule Violations of Dalian Commodity Exchange</w:t>
      </w:r>
      <w:r>
        <w:rPr>
          <w:rFonts w:ascii="Times New Roman" w:eastAsia="宋体" w:hAnsi="Times New Roman" w:cs="Times New Roman"/>
          <w:sz w:val="24"/>
          <w:szCs w:val="24"/>
        </w:rPr>
        <w:t xml:space="preserve"> and other relevant rules. If the behavior constitutes suspected violation of laws, the Exchange may involve the China Securities Regulatory Commission ("</w:t>
      </w:r>
      <w:r>
        <w:rPr>
          <w:rFonts w:ascii="Times New Roman" w:eastAsia="宋体" w:hAnsi="Times New Roman" w:cs="Times New Roman"/>
          <w:b/>
          <w:sz w:val="24"/>
          <w:szCs w:val="24"/>
        </w:rPr>
        <w:t>CSRC</w:t>
      </w:r>
      <w:r>
        <w:rPr>
          <w:rFonts w:ascii="Times New Roman" w:eastAsia="宋体" w:hAnsi="Times New Roman" w:cs="Times New Roman"/>
          <w:sz w:val="24"/>
          <w:szCs w:val="24"/>
        </w:rPr>
        <w:t xml:space="preserve">") to investigate. </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sz w:val="24"/>
          <w:szCs w:val="24"/>
        </w:rPr>
      </w:pPr>
      <w:r>
        <w:rPr>
          <w:rFonts w:ascii="Times New Roman" w:eastAsia="宋体" w:hAnsi="Times New Roman" w:cs="Times New Roman"/>
          <w:kern w:val="0"/>
          <w:sz w:val="24"/>
          <w:szCs w:val="24"/>
        </w:rPr>
        <w:t>The regulatory action or written decision taken by the Exchange against a client who is found to have abnormal trading behavior will be delivered to the client through its Futures Company Member or OSBP. The Futures Company Member or OSBP shall contact the client promptly and inform it of the regulatory action and written decision, retain related evidence and take effective measures to regulate the client's trading activities. Where an Overseas Intermediary is involved, the Overseas Intermediary shall assist the Futures Company Member and OSBP to contact the relevant client in a timely manner and notify it of the regulatory action and written decision made by the Exchange.</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kern w:val="0"/>
          <w:sz w:val="24"/>
          <w:szCs w:val="24"/>
        </w:rPr>
      </w:pPr>
      <w:r>
        <w:rPr>
          <w:rFonts w:ascii="Times New Roman" w:eastAsia="宋体" w:hAnsi="Times New Roman" w:cs="Times New Roman"/>
          <w:sz w:val="24"/>
          <w:szCs w:val="24"/>
        </w:rPr>
        <w:t xml:space="preserve">If a Futures Company Member has any one of the following behaviors, the Exchange may demand rectification and take regulatory actions or disciplinary punishments against it in accordance with the </w:t>
      </w:r>
      <w:r>
        <w:rPr>
          <w:rFonts w:ascii="Times New Roman" w:eastAsia="宋体" w:hAnsi="Times New Roman" w:cs="Times New Roman"/>
          <w:i/>
          <w:sz w:val="24"/>
          <w:szCs w:val="24"/>
        </w:rPr>
        <w:t>Measures against Rule Violations of Dalian Commodity Exchange</w:t>
      </w:r>
      <w:r>
        <w:rPr>
          <w:rFonts w:ascii="Times New Roman" w:eastAsia="宋体" w:hAnsi="Times New Roman" w:cs="Times New Roman"/>
          <w:sz w:val="24"/>
          <w:szCs w:val="24"/>
        </w:rPr>
        <w:t xml:space="preserve"> and other relevant rules. The Exchange may propose that CSRC </w:t>
      </w:r>
      <w:r>
        <w:rPr>
          <w:rFonts w:ascii="Times New Roman" w:eastAsia="宋体" w:hAnsi="Times New Roman" w:cs="Times New Roman"/>
          <w:kern w:val="0"/>
          <w:sz w:val="24"/>
          <w:szCs w:val="24"/>
        </w:rPr>
        <w:t>down-grade</w:t>
      </w:r>
      <w:r>
        <w:rPr>
          <w:rFonts w:ascii="Times New Roman" w:eastAsia="宋体" w:hAnsi="Times New Roman" w:cs="Times New Roman"/>
          <w:sz w:val="24"/>
          <w:szCs w:val="24"/>
        </w:rPr>
        <w:t xml:space="preserve"> the classified regulatory scores of the offending Member.</w:t>
      </w:r>
    </w:p>
    <w:p w:rsidR="00490936" w:rsidRDefault="00490936" w:rsidP="00490936">
      <w:pPr>
        <w:numPr>
          <w:ilvl w:val="2"/>
          <w:numId w:val="4"/>
        </w:numPr>
        <w:adjustRightInd w:val="0"/>
        <w:snapToGrid w:val="0"/>
        <w:spacing w:before="200" w:line="288" w:lineRule="auto"/>
        <w:ind w:left="1843" w:hanging="584"/>
        <w:rPr>
          <w:rFonts w:ascii="Times New Roman" w:eastAsia="宋体" w:hAnsi="Times New Roman" w:cs="Times New Roman"/>
          <w:kern w:val="0"/>
          <w:sz w:val="24"/>
          <w:szCs w:val="24"/>
        </w:rPr>
      </w:pPr>
      <w:r>
        <w:rPr>
          <w:rFonts w:ascii="Times New Roman" w:eastAsia="宋体" w:hAnsi="Times New Roman" w:cs="Times New Roman"/>
          <w:kern w:val="0"/>
          <w:sz w:val="24"/>
          <w:szCs w:val="24"/>
        </w:rPr>
        <w:t>failing to notify and forward the Exchange</w:t>
      </w:r>
      <w:r>
        <w:rPr>
          <w:rFonts w:ascii="Times New Roman" w:eastAsia="宋体" w:hAnsi="Times New Roman" w:cs="Times New Roman"/>
          <w:sz w:val="24"/>
          <w:szCs w:val="24"/>
        </w:rPr>
        <w:t>'</w:t>
      </w:r>
      <w:r>
        <w:rPr>
          <w:rFonts w:ascii="Times New Roman" w:eastAsia="宋体" w:hAnsi="Times New Roman" w:cs="Times New Roman"/>
          <w:kern w:val="0"/>
          <w:sz w:val="24"/>
          <w:szCs w:val="24"/>
        </w:rPr>
        <w:t xml:space="preserve">s regulatory action or written decision to the client in a timely and accurate manner; </w:t>
      </w:r>
    </w:p>
    <w:p w:rsidR="00490936" w:rsidRDefault="00490936" w:rsidP="00490936">
      <w:pPr>
        <w:numPr>
          <w:ilvl w:val="2"/>
          <w:numId w:val="4"/>
        </w:numPr>
        <w:adjustRightInd w:val="0"/>
        <w:snapToGrid w:val="0"/>
        <w:spacing w:before="200" w:line="288" w:lineRule="auto"/>
        <w:ind w:left="1843" w:hanging="584"/>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failing to take effective measures to stop abnormal trading behaviors of its clients; </w:t>
      </w:r>
    </w:p>
    <w:p w:rsidR="00490936" w:rsidRDefault="00490936" w:rsidP="00490936">
      <w:pPr>
        <w:numPr>
          <w:ilvl w:val="2"/>
          <w:numId w:val="4"/>
        </w:numPr>
        <w:adjustRightInd w:val="0"/>
        <w:snapToGrid w:val="0"/>
        <w:spacing w:before="200" w:line="288" w:lineRule="auto"/>
        <w:ind w:left="1843" w:hanging="584"/>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failing to assist in the investigation of suspected violation of laws or regulations as required by the Exchange, or intentionally delay process, conceal or omit facts; </w:t>
      </w:r>
    </w:p>
    <w:p w:rsidR="00490936" w:rsidRDefault="00490936" w:rsidP="00490936">
      <w:pPr>
        <w:numPr>
          <w:ilvl w:val="2"/>
          <w:numId w:val="4"/>
        </w:numPr>
        <w:adjustRightInd w:val="0"/>
        <w:snapToGrid w:val="0"/>
        <w:spacing w:before="200" w:line="288" w:lineRule="auto"/>
        <w:ind w:left="1843" w:hanging="584"/>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indulging, inducing, encouraging or supporting the customer's abnormal trading activities; </w:t>
      </w:r>
      <w:r>
        <w:rPr>
          <w:rFonts w:ascii="Times New Roman" w:eastAsia="宋体" w:hAnsi="Times New Roman" w:cs="Times New Roman" w:hint="eastAsia"/>
          <w:kern w:val="0"/>
          <w:sz w:val="24"/>
          <w:szCs w:val="24"/>
        </w:rPr>
        <w:t>or</w:t>
      </w:r>
    </w:p>
    <w:p w:rsidR="00490936" w:rsidRDefault="00490936" w:rsidP="00490936">
      <w:pPr>
        <w:numPr>
          <w:ilvl w:val="2"/>
          <w:numId w:val="4"/>
        </w:numPr>
        <w:adjustRightInd w:val="0"/>
        <w:snapToGrid w:val="0"/>
        <w:spacing w:before="200" w:line="288" w:lineRule="auto"/>
        <w:ind w:left="1843" w:hanging="584"/>
        <w:rPr>
          <w:rFonts w:ascii="Times New Roman" w:eastAsia="宋体" w:hAnsi="Times New Roman" w:cs="Times New Roman"/>
          <w:kern w:val="0"/>
          <w:sz w:val="24"/>
          <w:szCs w:val="24"/>
        </w:rPr>
      </w:pPr>
      <w:proofErr w:type="gramStart"/>
      <w:r>
        <w:rPr>
          <w:rFonts w:ascii="Times New Roman" w:eastAsia="宋体" w:hAnsi="Times New Roman" w:cs="Times New Roman"/>
          <w:kern w:val="0"/>
          <w:sz w:val="24"/>
          <w:szCs w:val="24"/>
        </w:rPr>
        <w:t>other</w:t>
      </w:r>
      <w:proofErr w:type="gramEnd"/>
      <w:r>
        <w:rPr>
          <w:rFonts w:ascii="Times New Roman" w:eastAsia="宋体" w:hAnsi="Times New Roman" w:cs="Times New Roman"/>
          <w:kern w:val="0"/>
          <w:sz w:val="24"/>
          <w:szCs w:val="24"/>
        </w:rPr>
        <w:t xml:space="preserve"> circumstances identified by the Exchange. </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sz w:val="24"/>
          <w:szCs w:val="24"/>
        </w:rPr>
      </w:pPr>
      <w:r>
        <w:rPr>
          <w:rFonts w:ascii="Times New Roman" w:eastAsia="宋体" w:hAnsi="Times New Roman" w:cs="Times New Roman"/>
          <w:sz w:val="24"/>
          <w:szCs w:val="24"/>
        </w:rPr>
        <w:t xml:space="preserve">The identification criteria and handling procedures of abnormal trading behaviors shall be circulated by the Exchange separately. </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The Exchange reserves the right to interpret the Measures. </w:t>
      </w:r>
    </w:p>
    <w:p w:rsidR="00490936" w:rsidRDefault="00490936" w:rsidP="00490936">
      <w:pPr>
        <w:numPr>
          <w:ilvl w:val="0"/>
          <w:numId w:val="3"/>
        </w:numPr>
        <w:adjustRightInd w:val="0"/>
        <w:snapToGrid w:val="0"/>
        <w:spacing w:before="200" w:line="288" w:lineRule="auto"/>
        <w:ind w:left="1259" w:hanging="1259"/>
        <w:rPr>
          <w:rFonts w:ascii="Times New Roman" w:eastAsia="宋体" w:hAnsi="Times New Roman" w:cs="Times New Roman"/>
          <w:sz w:val="24"/>
          <w:szCs w:val="24"/>
        </w:rPr>
      </w:pPr>
      <w:r>
        <w:rPr>
          <w:rFonts w:ascii="Times New Roman" w:eastAsia="宋体" w:hAnsi="Times New Roman" w:cs="Times New Roman"/>
          <w:sz w:val="24"/>
          <w:szCs w:val="24"/>
        </w:rPr>
        <w:t>The Measures shall come into force on the date of promulgation.</w:t>
      </w:r>
    </w:p>
    <w:p w:rsidR="00490936" w:rsidRDefault="00490936" w:rsidP="00490936">
      <w:pPr>
        <w:widowControl/>
        <w:spacing w:before="200" w:line="288" w:lineRule="auto"/>
        <w:jc w:val="left"/>
        <w:rPr>
          <w:rFonts w:ascii="Times New Roman" w:eastAsia="宋体" w:hAnsi="Times New Roman" w:cs="Times New Roman"/>
          <w:sz w:val="24"/>
          <w:szCs w:val="24"/>
        </w:rPr>
      </w:pPr>
    </w:p>
    <w:p w:rsidR="004720DA" w:rsidRDefault="00490936" w:rsidP="00490936">
      <w:r>
        <w:rPr>
          <w:rFonts w:ascii="Times New Roman" w:eastAsia="宋体" w:hAnsi="Times New Roman" w:cs="Times New Roman"/>
          <w:b/>
          <w:i/>
          <w:sz w:val="24"/>
          <w:szCs w:val="24"/>
        </w:rPr>
        <w:t>Disclaimer</w:t>
      </w:r>
      <w:r>
        <w:rPr>
          <w:rFonts w:ascii="Times New Roman" w:eastAsia="宋体" w:hAnsi="Times New Roman" w:cs="Times New Roman"/>
          <w:i/>
          <w:sz w:val="24"/>
          <w:szCs w:val="24"/>
        </w:rPr>
        <w:t>: This English translation may be used for reference only. In cases there is any discrepancy between the English version and the original Chinese version, the original Chinese version shall prevail. Dalian Commodity Exchange may change or update this English translation without any prior notice and shall accept no responsibility or liability for damage or loss caused by any error, inaccuracy, misunderstanding, or change with regard to this English translation</w:t>
      </w:r>
      <w:r>
        <w:rPr>
          <w:rFonts w:ascii="Times New Roman" w:eastAsia="宋体" w:hAnsi="Times New Roman" w:cs="Times New Roman"/>
          <w:sz w:val="24"/>
          <w:szCs w:val="24"/>
        </w:rPr>
        <w:t>.</w:t>
      </w:r>
    </w:p>
    <w:sectPr w:rsidR="00472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14B"/>
    <w:multiLevelType w:val="multilevel"/>
    <w:tmpl w:val="025A614B"/>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japaneseCounting"/>
      <w:lvlText w:val="第%3条"/>
      <w:lvlJc w:val="left"/>
      <w:pPr>
        <w:ind w:left="1740" w:hanging="90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1E4319"/>
    <w:multiLevelType w:val="multilevel"/>
    <w:tmpl w:val="211E4319"/>
    <w:lvl w:ilvl="0">
      <w:start w:val="7"/>
      <w:numFmt w:val="decimal"/>
      <w:lvlText w:val="Article %1"/>
      <w:lvlJc w:val="left"/>
      <w:pPr>
        <w:ind w:left="84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AE34A9"/>
    <w:multiLevelType w:val="multilevel"/>
    <w:tmpl w:val="30AE34A9"/>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8A76BCE"/>
    <w:multiLevelType w:val="multilevel"/>
    <w:tmpl w:val="78A76BCE"/>
    <w:lvl w:ilvl="0">
      <w:start w:val="1"/>
      <w:numFmt w:val="decimal"/>
      <w:lvlText w:val="(%1)"/>
      <w:lvlJc w:val="left"/>
      <w:pPr>
        <w:ind w:left="1679" w:hanging="420"/>
      </w:pPr>
      <w:rPr>
        <w:rFonts w:ascii="Times New Roman" w:hAnsi="Times New Roman" w:hint="default"/>
        <w:b w:val="0"/>
        <w:i w:val="0"/>
      </w:rPr>
    </w:lvl>
    <w:lvl w:ilvl="1">
      <w:start w:val="1"/>
      <w:numFmt w:val="upperRoman"/>
      <w:lvlText w:val="(%2)"/>
      <w:lvlJc w:val="left"/>
      <w:pPr>
        <w:ind w:left="2399" w:hanging="720"/>
      </w:pPr>
      <w:rPr>
        <w:rFonts w:hint="default"/>
      </w:rPr>
    </w:lvl>
    <w:lvl w:ilvl="2">
      <w:start w:val="1"/>
      <w:numFmt w:val="decimal"/>
      <w:lvlText w:val="(%3)"/>
      <w:lvlJc w:val="left"/>
      <w:pPr>
        <w:ind w:left="2519" w:hanging="420"/>
      </w:pPr>
      <w:rPr>
        <w:rFonts w:ascii="Times New Roman" w:hAnsi="Times New Roman" w:hint="default"/>
        <w:b w:val="0"/>
        <w:i w:val="0"/>
      </w:r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36"/>
    <w:rsid w:val="004720DA"/>
    <w:rsid w:val="0049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A574"/>
  <w15:chartTrackingRefBased/>
  <w15:docId w15:val="{8F7D63F0-6776-4C93-9677-3A9FDCF6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936"/>
    <w:pPr>
      <w:widowControl w:val="0"/>
      <w:spacing w:after="160" w:line="25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1"/>
    <w:uiPriority w:val="34"/>
    <w:qFormat/>
    <w:rsid w:val="00490936"/>
    <w:pPr>
      <w:ind w:firstLineChars="200" w:firstLine="420"/>
    </w:pPr>
    <w:rPr>
      <w:rFonts w:ascii="Calibri" w:eastAsia="宋体" w:hAnsi="Calibri" w:cs="Calibri"/>
      <w:szCs w:val="21"/>
    </w:rPr>
  </w:style>
  <w:style w:type="character" w:customStyle="1" w:styleId="1">
    <w:name w:val="列出段落 字符1"/>
    <w:link w:val="a3"/>
    <w:uiPriority w:val="34"/>
    <w:qFormat/>
    <w:rsid w:val="00490936"/>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1</cp:revision>
  <dcterms:created xsi:type="dcterms:W3CDTF">2021-02-05T07:21:00Z</dcterms:created>
  <dcterms:modified xsi:type="dcterms:W3CDTF">2021-02-05T07:21:00Z</dcterms:modified>
</cp:coreProperties>
</file>