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00" w:line="288" w:lineRule="auto"/>
        <w:jc w:val="left"/>
        <w:rPr>
          <w:rFonts w:ascii="Times New Roman" w:hAnsi="Times New Roman" w:eastAsia="宋体"/>
          <w:bCs/>
          <w:color w:val="0D0D0D"/>
          <w:sz w:val="24"/>
          <w:szCs w:val="24"/>
        </w:rPr>
      </w:pPr>
      <w:r>
        <w:rPr>
          <w:rFonts w:ascii="Times New Roman" w:hAnsi="Times New Roman" w:eastAsia="宋体"/>
          <w:bCs/>
          <w:color w:val="0D0D0D"/>
          <w:sz w:val="24"/>
          <w:szCs w:val="24"/>
        </w:rPr>
        <w:t>Attachment 1</w:t>
      </w:r>
    </w:p>
    <w:p>
      <w:pPr>
        <w:pStyle w:val="4"/>
        <w:numPr>
          <w:numId w:val="0"/>
        </w:numPr>
        <w:spacing w:before="200" w:line="288" w:lineRule="auto"/>
        <w:ind w:left="1060" w:leftChars="0" w:hanging="1060" w:hangingChars="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Measures for Standard Warehouse Receipt Trading Management of Dalian Commodity Exchange (Trial)</w:t>
      </w:r>
    </w:p>
    <w:p>
      <w:pPr>
        <w:pStyle w:val="5"/>
        <w:jc w:val="center"/>
        <w:rPr>
          <w:rFonts w:hint="eastAsia"/>
          <w:lang w:val="en-US" w:eastAsia="zh-CN"/>
        </w:rPr>
      </w:pPr>
      <w:r>
        <w:rPr>
          <w:rFonts w:ascii="Times New Roman" w:hAnsi="Times New Roman" w:eastAsia="宋体"/>
          <w:b/>
          <w:color w:val="0D0D0D"/>
          <w:kern w:val="0"/>
          <w:position w:val="-3"/>
          <w:sz w:val="24"/>
          <w:szCs w:val="24"/>
        </w:rPr>
        <w:t>(Amendment)</w:t>
      </w:r>
    </w:p>
    <w:p>
      <w:pPr>
        <w:pStyle w:val="4"/>
        <w:numPr>
          <w:numId w:val="0"/>
        </w:numPr>
        <w:spacing w:before="200" w:line="288" w:lineRule="auto"/>
        <w:ind w:left="1056" w:leftChars="0" w:hanging="1056" w:hangingChars="440"/>
        <w:rPr>
          <w:rFonts w:ascii="Times New Roman" w:hAnsi="Times New Roman" w:eastAsia="Arial Unicode MS"/>
          <w:kern w:val="0"/>
          <w:sz w:val="24"/>
          <w:szCs w:val="24"/>
        </w:rPr>
      </w:pPr>
      <w:r>
        <w:rPr>
          <w:rFonts w:hint="eastAsia" w:ascii="Times New Roman" w:hAnsi="Times New Roman" w:eastAsia="Arial Unicode MS"/>
          <w:kern w:val="0"/>
          <w:sz w:val="24"/>
          <w:szCs w:val="24"/>
          <w:lang w:val="en-US" w:eastAsia="zh-CN"/>
        </w:rPr>
        <w:t xml:space="preserve">Article 3  </w:t>
      </w:r>
      <w:r>
        <w:rPr>
          <w:rFonts w:ascii="Times New Roman" w:hAnsi="Times New Roman" w:eastAsia="Arial Unicode MS"/>
          <w:kern w:val="0"/>
          <w:sz w:val="24"/>
          <w:szCs w:val="24"/>
        </w:rPr>
        <w:t xml:space="preserve">Applicant for warehouse receipt trading client qualification must meet the following </w:t>
      </w:r>
      <w:r>
        <w:rPr>
          <w:rFonts w:hint="eastAsia" w:ascii="Times New Roman" w:hAnsi="Times New Roman" w:eastAsia="Arial Unicode MS"/>
          <w:kern w:val="0"/>
          <w:sz w:val="24"/>
          <w:szCs w:val="24"/>
        </w:rPr>
        <w:t>requirements</w:t>
      </w:r>
      <w:r>
        <w:rPr>
          <w:rFonts w:ascii="Times New Roman" w:hAnsi="Times New Roman" w:eastAsia="Arial Unicode MS"/>
          <w:kern w:val="0"/>
          <w:sz w:val="24"/>
          <w:szCs w:val="24"/>
        </w:rPr>
        <w:t xml:space="preserve">: </w:t>
      </w:r>
    </w:p>
    <w:p>
      <w:pPr>
        <w:pStyle w:val="4"/>
        <w:numPr>
          <w:numId w:val="0"/>
        </w:numPr>
        <w:spacing w:before="200" w:line="288" w:lineRule="auto"/>
        <w:ind w:left="1050" w:leftChars="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(1)</w:t>
      </w:r>
      <w:r>
        <w:rPr>
          <w:rFonts w:ascii="Times New Roman" w:hAnsi="Times New Roman"/>
          <w:color w:val="000000"/>
          <w:sz w:val="24"/>
          <w:szCs w:val="24"/>
        </w:rPr>
        <w:t>being an enterprise legal person duly registered with the industry and commerce authority and qualified</w:t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 operation of the product involved;</w:t>
      </w:r>
    </w:p>
    <w:p>
      <w:pPr>
        <w:pStyle w:val="4"/>
        <w:numPr>
          <w:numId w:val="0"/>
        </w:numPr>
        <w:spacing w:before="200" w:line="288" w:lineRule="auto"/>
        <w:ind w:left="1050" w:left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(2)</w:t>
      </w:r>
      <w:r>
        <w:rPr>
          <w:rFonts w:ascii="Times New Roman" w:hAnsi="Times New Roman"/>
          <w:sz w:val="24"/>
          <w:szCs w:val="24"/>
        </w:rPr>
        <w:t xml:space="preserve">being able to issue </w:t>
      </w:r>
      <w:r>
        <w:rPr>
          <w:rFonts w:ascii="Times New Roman" w:hAnsi="Times New Roman"/>
          <w:color w:val="000000"/>
          <w:sz w:val="24"/>
          <w:szCs w:val="24"/>
        </w:rPr>
        <w:t>dedicated</w:t>
      </w:r>
      <w:r>
        <w:rPr>
          <w:rFonts w:ascii="Times New Roman" w:hAnsi="Times New Roman"/>
          <w:sz w:val="24"/>
          <w:szCs w:val="24"/>
        </w:rPr>
        <w:t xml:space="preserve"> VAT invoice for the </w:t>
      </w:r>
      <w:r>
        <w:rPr>
          <w:rFonts w:hint="eastAsia" w:ascii="Times New Roman" w:hAnsi="Times New Roman"/>
          <w:sz w:val="24"/>
          <w:szCs w:val="24"/>
        </w:rPr>
        <w:t xml:space="preserve">product </w:t>
      </w:r>
      <w:r>
        <w:rPr>
          <w:rFonts w:ascii="Times New Roman" w:hAnsi="Times New Roman"/>
          <w:color w:val="000000"/>
          <w:sz w:val="24"/>
          <w:szCs w:val="24"/>
        </w:rPr>
        <w:t>involved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4"/>
        <w:numPr>
          <w:numId w:val="0"/>
        </w:numPr>
        <w:spacing w:before="200" w:line="288" w:lineRule="auto"/>
        <w:ind w:left="1050" w:left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(3)</w:t>
      </w:r>
      <w:r>
        <w:rPr>
          <w:rFonts w:ascii="Times New Roman" w:hAnsi="Times New Roman"/>
          <w:sz w:val="24"/>
          <w:szCs w:val="24"/>
        </w:rPr>
        <w:t>being a client or Non-Futures Company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Member of the Exchange, or any other party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can legitimately hold the standard warehouse receipts;</w:t>
      </w:r>
    </w:p>
    <w:p>
      <w:pPr>
        <w:pStyle w:val="4"/>
        <w:numPr>
          <w:numId w:val="0"/>
        </w:numPr>
        <w:spacing w:before="200" w:line="288" w:lineRule="auto"/>
        <w:ind w:left="1050" w:left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(4)</w:t>
      </w:r>
      <w:r>
        <w:rPr>
          <w:rFonts w:ascii="Times New Roman" w:hAnsi="Times New Roman"/>
          <w:sz w:val="24"/>
          <w:szCs w:val="24"/>
        </w:rPr>
        <w:t>acknowledging and following the laws and regulations of relevant government regulatory authorities, the Measures, as well as the rules and regulations promulgated by the Exchange;</w:t>
      </w:r>
    </w:p>
    <w:p>
      <w:pPr>
        <w:pStyle w:val="4"/>
        <w:numPr>
          <w:numId w:val="0"/>
        </w:numPr>
        <w:spacing w:before="200" w:line="288" w:lineRule="auto"/>
        <w:ind w:left="1050" w:leftChars="0"/>
        <w:rPr>
          <w:rFonts w:ascii="Times New Roman" w:hAnsi="Times New Roman"/>
          <w:bCs/>
          <w:strike w:val="0"/>
          <w:dstrike/>
          <w:sz w:val="24"/>
          <w:szCs w:val="24"/>
        </w:rPr>
      </w:pPr>
      <w:r>
        <w:rPr>
          <w:rFonts w:hint="eastAsia" w:ascii="Times New Roman" w:hAnsi="Times New Roman"/>
          <w:bCs/>
          <w:strike w:val="0"/>
          <w:dstrike/>
          <w:sz w:val="24"/>
          <w:szCs w:val="24"/>
          <w:lang w:val="en-US" w:eastAsia="zh-CN"/>
        </w:rPr>
        <w:t>(5)</w:t>
      </w:r>
      <w:r>
        <w:rPr>
          <w:rFonts w:ascii="Times New Roman" w:hAnsi="Times New Roman"/>
          <w:bCs/>
          <w:strike w:val="0"/>
          <w:dstrike/>
          <w:sz w:val="24"/>
          <w:szCs w:val="24"/>
        </w:rPr>
        <w:t xml:space="preserve">having futures delivery records of the </w:t>
      </w:r>
      <w:r>
        <w:rPr>
          <w:rFonts w:hint="eastAsia" w:ascii="Times New Roman" w:hAnsi="Times New Roman"/>
          <w:strike w:val="0"/>
          <w:dstrike/>
          <w:sz w:val="24"/>
          <w:szCs w:val="24"/>
        </w:rPr>
        <w:t>products</w:t>
      </w:r>
      <w:r>
        <w:rPr>
          <w:rFonts w:ascii="Times New Roman" w:hAnsi="Times New Roman"/>
          <w:strike w:val="0"/>
          <w:dstrike/>
          <w:color w:val="000000"/>
          <w:sz w:val="24"/>
          <w:szCs w:val="24"/>
        </w:rPr>
        <w:t xml:space="preserve"> involved</w:t>
      </w:r>
      <w:r>
        <w:rPr>
          <w:rFonts w:ascii="Times New Roman" w:hAnsi="Times New Roman"/>
          <w:bCs/>
          <w:strike w:val="0"/>
          <w:dstrike/>
          <w:sz w:val="24"/>
          <w:szCs w:val="24"/>
        </w:rPr>
        <w:t>, unless it is a financial institution in banking, securities or other institution</w:t>
      </w:r>
      <w:r>
        <w:rPr>
          <w:rFonts w:hint="eastAsia" w:ascii="Times New Roman" w:hAnsi="Times New Roman"/>
          <w:bCs/>
          <w:strike w:val="0"/>
          <w:dstrike/>
          <w:sz w:val="24"/>
          <w:szCs w:val="24"/>
        </w:rPr>
        <w:t>s</w:t>
      </w:r>
      <w:r>
        <w:rPr>
          <w:rFonts w:ascii="Times New Roman" w:hAnsi="Times New Roman"/>
          <w:bCs/>
          <w:strike w:val="0"/>
          <w:dstrike/>
          <w:sz w:val="24"/>
          <w:szCs w:val="24"/>
        </w:rPr>
        <w:t>;</w:t>
      </w:r>
    </w:p>
    <w:p>
      <w:pPr>
        <w:pStyle w:val="4"/>
        <w:numPr>
          <w:numId w:val="0"/>
        </w:numPr>
        <w:spacing w:before="200" w:line="288" w:lineRule="auto"/>
        <w:ind w:leftChars="501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/>
          <w:strike w:val="0"/>
          <w:dstrike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/>
          <w:sz w:val="24"/>
          <w:szCs w:val="24"/>
          <w:shd w:val="clear" w:color="FFFFFF" w:fill="D9D9D9"/>
          <w:lang w:val="en-US" w:eastAsia="zh-CN"/>
        </w:rPr>
        <w:t>5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)</w:t>
      </w:r>
      <w:r>
        <w:rPr>
          <w:rFonts w:ascii="Times New Roman" w:hAnsi="Times New Roman"/>
          <w:sz w:val="24"/>
          <w:szCs w:val="24"/>
        </w:rPr>
        <w:t xml:space="preserve">having a </w:t>
      </w:r>
      <w:r>
        <w:rPr>
          <w:rFonts w:ascii="Times New Roman" w:hAnsi="Times New Roman"/>
          <w:bCs/>
          <w:sz w:val="24"/>
          <w:szCs w:val="24"/>
        </w:rPr>
        <w:t>sound</w:t>
      </w:r>
      <w:r>
        <w:rPr>
          <w:rFonts w:ascii="Times New Roman" w:hAnsi="Times New Roman"/>
          <w:sz w:val="24"/>
          <w:szCs w:val="24"/>
        </w:rPr>
        <w:t xml:space="preserve"> risk management system, financial accounting system and internal control system;</w:t>
      </w:r>
    </w:p>
    <w:p>
      <w:pPr>
        <w:pStyle w:val="4"/>
        <w:numPr>
          <w:numId w:val="0"/>
        </w:numPr>
        <w:spacing w:before="200" w:line="288" w:lineRule="auto"/>
        <w:ind w:left="1050" w:left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/>
          <w:strike w:val="0"/>
          <w:dstrike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/>
          <w:sz w:val="24"/>
          <w:szCs w:val="24"/>
          <w:shd w:val="clear" w:color="FFFFFF" w:fill="D9D9D9"/>
          <w:lang w:val="en-US" w:eastAsia="zh-CN"/>
        </w:rPr>
        <w:t>6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)</w:t>
      </w:r>
      <w:r>
        <w:rPr>
          <w:rFonts w:ascii="Times New Roman" w:hAnsi="Times New Roman"/>
          <w:sz w:val="24"/>
          <w:szCs w:val="24"/>
        </w:rPr>
        <w:t>having no record of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administrative or criminal penalties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major violations of laws and regulations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the last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years; and</w:t>
      </w:r>
    </w:p>
    <w:p>
      <w:pPr>
        <w:pStyle w:val="4"/>
        <w:numPr>
          <w:numId w:val="0"/>
        </w:numPr>
        <w:spacing w:before="200" w:line="288" w:lineRule="auto"/>
        <w:ind w:left="1050" w:left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(</w:t>
      </w:r>
      <w:r>
        <w:rPr>
          <w:rFonts w:hint="eastAsia" w:ascii="Times New Roman" w:hAnsi="Times New Roman"/>
          <w:strike w:val="0"/>
          <w:dstrike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/>
          <w:sz w:val="24"/>
          <w:szCs w:val="24"/>
          <w:shd w:val="clear" w:color="FFFFFF" w:fill="D9D9D9"/>
          <w:lang w:val="en-US" w:eastAsia="zh-CN"/>
        </w:rPr>
        <w:t>7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)</w:t>
      </w:r>
      <w:r>
        <w:rPr>
          <w:rFonts w:ascii="Times New Roman" w:hAnsi="Times New Roman"/>
          <w:sz w:val="24"/>
          <w:szCs w:val="24"/>
        </w:rPr>
        <w:t xml:space="preserve">other </w:t>
      </w:r>
      <w:r>
        <w:rPr>
          <w:rFonts w:hint="eastAsia" w:ascii="Times New Roman" w:hAnsi="Times New Roman" w:eastAsia="Arial Unicode MS"/>
          <w:kern w:val="0"/>
          <w:sz w:val="24"/>
          <w:szCs w:val="24"/>
        </w:rPr>
        <w:t xml:space="preserve">requirements </w:t>
      </w:r>
      <w:r>
        <w:rPr>
          <w:rFonts w:hint="eastAsia"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determined by the Exchange.</w:t>
      </w:r>
    </w:p>
    <w:p>
      <w:pPr>
        <w:ind w:left="1052" w:leftChars="501" w:firstLine="4" w:firstLineChars="0"/>
        <w:rPr>
          <w:rFonts w:hint="eastAsia" w:eastAsia="宋体"/>
          <w:lang w:val="en-US" w:eastAsia="zh-CN"/>
        </w:rPr>
      </w:pPr>
    </w:p>
    <w:p>
      <w:pPr>
        <w:ind w:left="1052" w:leftChars="501" w:firstLine="4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>
      <w:pPr>
        <w:ind w:left="1052" w:leftChars="501" w:firstLine="4" w:firstLineChars="0"/>
        <w:rPr>
          <w:rFonts w:hint="eastAsia"/>
          <w:lang w:val="en-US" w:eastAsia="zh-CN"/>
        </w:rPr>
      </w:pPr>
    </w:p>
    <w:p>
      <w:pPr>
        <w:widowControl/>
        <w:snapToGrid w:val="0"/>
        <w:spacing w:before="200" w:line="288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/>
          <w:b/>
          <w:i/>
          <w:color w:val="0D0D0D"/>
          <w:sz w:val="24"/>
          <w:szCs w:val="24"/>
        </w:rPr>
        <w:t>Note:</w:t>
      </w:r>
      <w:r>
        <w:rPr>
          <w:rFonts w:ascii="Times New Roman" w:hAnsi="Times New Roman" w:eastAsia="宋体"/>
          <w:i/>
          <w:color w:val="0D0D0D"/>
          <w:sz w:val="24"/>
          <w:szCs w:val="24"/>
        </w:rPr>
        <w:t xml:space="preserve"> Contents newly added are in shade; contents deleted are marked with double strikethrough</w:t>
      </w:r>
      <w:r>
        <w:rPr>
          <w:rFonts w:ascii="Times New Roman" w:hAnsi="Times New Roman"/>
          <w:i/>
          <w:color w:val="000000"/>
          <w:sz w:val="24"/>
          <w:szCs w:val="24"/>
        </w:rPr>
        <w:t>; clauses unchanged are represented by ellipsis.</w:t>
      </w:r>
    </w:p>
    <w:p>
      <w:pPr>
        <w:ind w:left="1052" w:leftChars="501" w:firstLine="4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6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2020-09-30T00:53:47Z</dcterms:created>
  <dc:creator>tangzhaoxia</dc:creator>
  <cp:lastModifiedBy>tangzhaoxia</cp:lastModifiedBy>
  <dcterms:modified xsi:type="dcterms:W3CDTF">2020-09-30T01:02:53Z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