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00" w:line="288" w:lineRule="auto"/>
        <w:jc w:val="center"/>
        <w:outlineLvl w:val="1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4"/>
        </w:rPr>
        <w:t>Detailed Rules of RBD Palm Olein Futures of Dalian Commodity Exchange</w:t>
      </w:r>
    </w:p>
    <w:p>
      <w:pPr>
        <w:adjustRightInd w:val="0"/>
        <w:snapToGrid w:val="0"/>
        <w:spacing w:before="200" w:line="288" w:lineRule="auto"/>
        <w:jc w:val="center"/>
        <w:rPr>
          <w:rFonts w:ascii="Times New Roman" w:hAnsi="Times New Roman" w:eastAsia="宋体" w:cs="Times New Roman"/>
          <w:b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/>
          <w:color w:val="0D0D0D" w:themeColor="text1" w:themeTint="F2"/>
          <w:kern w:val="0"/>
          <w:position w:val="-3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(Amendment)</w:t>
      </w:r>
    </w:p>
    <w:p>
      <w:pPr>
        <w:spacing w:before="200" w:line="288" w:lineRule="auto"/>
        <w:rPr>
          <w:rFonts w:ascii="Times New Roman" w:hAnsi="Times New Roman" w:eastAsia="宋体" w:cs="Times New Roman"/>
          <w:sz w:val="24"/>
        </w:rPr>
      </w:pPr>
    </w:p>
    <w:p>
      <w:pPr>
        <w:spacing w:before="20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I  General Provisions</w:t>
      </w:r>
    </w:p>
    <w:p>
      <w:pPr>
        <w:numPr>
          <w:ilvl w:val="0"/>
          <w:numId w:val="1"/>
        </w:numPr>
        <w:spacing w:before="200" w:line="288" w:lineRule="auto"/>
        <w:ind w:left="1276" w:hanging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Dalian Commodity Exchange (the "</w:t>
      </w:r>
      <w:r>
        <w:rPr>
          <w:rFonts w:ascii="Times New Roman" w:hAnsi="Times New Roman"/>
          <w:b/>
          <w:sz w:val="24"/>
        </w:rPr>
        <w:t>Exchange</w:t>
      </w:r>
      <w:r>
        <w:rPr>
          <w:rFonts w:ascii="Times New Roman" w:hAnsi="Times New Roman"/>
          <w:sz w:val="24"/>
        </w:rPr>
        <w:t xml:space="preserve">"), its Members, </w:t>
      </w:r>
      <w:r>
        <w:rPr>
          <w:rFonts w:ascii="Times New Roman" w:hAnsi="Times New Roman"/>
          <w:sz w:val="24"/>
          <w:shd w:val="pct10" w:color="auto" w:fill="FFFFFF"/>
        </w:rPr>
        <w:t xml:space="preserve">the </w:t>
      </w:r>
      <w:r>
        <w:rPr>
          <w:rFonts w:hint="eastAsia" w:ascii="Times New Roman" w:hAnsi="Times New Roman" w:eastAsia="Arial Unicode MS"/>
          <w:kern w:val="0"/>
          <w:sz w:val="24"/>
          <w:shd w:val="pct10" w:color="auto" w:fill="FFFFFF"/>
        </w:rPr>
        <w:t>overseas brokers</w:t>
      </w:r>
      <w:r>
        <w:rPr>
          <w:rFonts w:ascii="Times New Roman" w:hAnsi="Times New Roman" w:eastAsia="Arial Unicode MS"/>
          <w:kern w:val="0"/>
          <w:sz w:val="24"/>
          <w:shd w:val="pct10" w:color="auto" w:fill="FFFFFF"/>
        </w:rPr>
        <w:t>,</w:t>
      </w:r>
      <w:r>
        <w:rPr>
          <w:rFonts w:ascii="Times New Roman" w:hAnsi="Times New Roman"/>
          <w:sz w:val="24"/>
        </w:rPr>
        <w:t xml:space="preserve"> the clients, the designated delivery warehouses, the designated quality inspection agencies, the designated futures margin depositary banks and other participants in the futures market shall comply with the Detailed Rules.</w:t>
      </w:r>
    </w:p>
    <w:p>
      <w:pPr>
        <w:adjustRightInd w:val="0"/>
        <w:snapToGrid w:val="0"/>
        <w:spacing w:before="200" w:line="288" w:lineRule="auto"/>
        <w:ind w:firstLine="641"/>
        <w:jc w:val="center"/>
        <w:rPr>
          <w:rFonts w:ascii="Times New Roman" w:hAnsi="Times New Roman" w:eastAsia="宋体" w:cs="Times New Roman"/>
          <w:b/>
          <w:color w:val="333333"/>
          <w:sz w:val="24"/>
        </w:rPr>
      </w:pPr>
      <w:r>
        <w:rPr>
          <w:rFonts w:ascii="Times New Roman" w:hAnsi="Times New Roman" w:eastAsia="宋体" w:cs="Times New Roman"/>
          <w:b/>
          <w:color w:val="333333"/>
          <w:sz w:val="24"/>
        </w:rPr>
        <w:t>Chapter III  Delivery and Clearing</w:t>
      </w:r>
    </w:p>
    <w:p>
      <w:pPr>
        <w:adjustRightInd w:val="0"/>
        <w:snapToGrid w:val="0"/>
        <w:spacing w:before="200" w:line="288" w:lineRule="auto"/>
        <w:ind w:firstLine="641"/>
        <w:jc w:val="center"/>
        <w:rPr>
          <w:rFonts w:ascii="Times New Roman" w:hAnsi="Times New Roman" w:eastAsia="宋体" w:cs="Times New Roman"/>
          <w:b/>
          <w:color w:val="333333"/>
          <w:sz w:val="24"/>
        </w:rPr>
      </w:pPr>
      <w:r>
        <w:rPr>
          <w:rFonts w:ascii="Times New Roman" w:hAnsi="Times New Roman" w:eastAsia="宋体" w:cs="Times New Roman"/>
          <w:b/>
          <w:color w:val="333333"/>
          <w:sz w:val="24"/>
        </w:rPr>
        <w:t>Section I  General Provisions</w:t>
      </w:r>
    </w:p>
    <w:p>
      <w:pPr>
        <w:pStyle w:val="4"/>
        <w:numPr>
          <w:ilvl w:val="0"/>
          <w:numId w:val="2"/>
        </w:numPr>
        <w:adjustRightInd w:val="0"/>
        <w:snapToGrid w:val="0"/>
        <w:spacing w:before="200" w:line="288" w:lineRule="auto"/>
        <w:ind w:left="1259" w:hanging="1259" w:firstLineChars="0"/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Where the parties to the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trading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file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an EFP application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standard warehouse receipt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, they shall submit legal and valid qualification certificates for receiving or issuing VAT invoices in addition to the relevant EFP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application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materials under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Measures for Delivery Management of Dalian Commodity Exchange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adjustRightInd w:val="0"/>
        <w:snapToGrid w:val="0"/>
        <w:spacing w:before="200" w:line="288" w:lineRule="auto"/>
        <w:ind w:left="1259" w:firstLine="0" w:firstLineChars="0"/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Where a client engages in the one-off delivery, it shall submit the legal and valid qualification certificate for receiving or issuing VAT invoices to the Exchange before 14:30 of the 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handover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day through the Member.</w:t>
      </w:r>
      <w:r>
        <w:rPr>
          <w:shd w:val="pct10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If 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it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fails to submit within the specified time limit, it shall be deemed as not qualified for receiving or issuing VAT invoices and the relevant provisions of the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Measures for Delivery Management of Dalian Commodity Exchange</w:t>
      </w:r>
      <w:r>
        <w:rPr>
          <w:rFonts w:ascii="Times New Roman" w:hAnsi="Times New Roman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 xml:space="preserve"> shall apply.</w:t>
      </w:r>
    </w:p>
    <w:p>
      <w:pPr>
        <w:widowControl/>
        <w:shd w:val="clear" w:color="auto" w:fill="FFFFFF"/>
        <w:spacing w:before="200" w:line="288" w:lineRule="auto"/>
        <w:rPr>
          <w:rFonts w:ascii="Times New Roman" w:hAnsi="Times New Roman" w:eastAsia="宋体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00" w:line="288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Note</w:t>
      </w:r>
      <w:r>
        <w:rPr>
          <w:rFonts w:ascii="Times New Roman" w:hAnsi="Times New Roman" w:eastAsia="宋体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宋体"/>
          <w:i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Contents newly added are in shade; where any clause is added or deleted, the number of other clauses shall be changed in order accordingly.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857"/>
    <w:multiLevelType w:val="multilevel"/>
    <w:tmpl w:val="13695857"/>
    <w:lvl w:ilvl="0" w:tentative="0">
      <w:start w:val="17"/>
      <w:numFmt w:val="decimal"/>
      <w:lvlText w:val="Article %1"/>
      <w:lvlJc w:val="left"/>
      <w:pPr>
        <w:ind w:left="420" w:hanging="420"/>
      </w:pPr>
      <w:rPr>
        <w:rFonts w:hint="default" w:ascii="Times New Roman" w:hAnsi="Times New Roman"/>
        <w:b/>
        <w:i w:val="0"/>
        <w:sz w:val="24"/>
        <w:shd w:val="pct10" w:color="auto" w:fill="FFFFFF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26D76"/>
    <w:multiLevelType w:val="multilevel"/>
    <w:tmpl w:val="2DE26D76"/>
    <w:lvl w:ilvl="0" w:tentative="0">
      <w:start w:val="2"/>
      <w:numFmt w:val="decimal"/>
      <w:lvlText w:val="Article %1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61A5"/>
    <w:rsid w:val="2FB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2020-10-22T06:31:00Z</dcterms:created>
  <dc:creator>DCE</dc:creator>
  <cp:lastModifiedBy>DCE</cp:lastModifiedBy>
  <dcterms:modified xsi:type="dcterms:W3CDTF">2020-10-22T06:32:27Z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