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4A81" w14:textId="77777777" w:rsidR="00532A7F" w:rsidRDefault="00532A7F" w:rsidP="00532A7F">
      <w:pPr>
        <w:widowControl/>
        <w:spacing w:before="200" w:line="288" w:lineRule="auto"/>
        <w:outlineLvl w:val="0"/>
        <w:rPr>
          <w:rFonts w:ascii="Times New Roman" w:eastAsia="宋体" w:hAnsi="Times New Roman"/>
          <w:bCs/>
          <w:color w:val="0D0D0D"/>
          <w:sz w:val="24"/>
          <w:szCs w:val="24"/>
        </w:rPr>
      </w:pPr>
      <w:r>
        <w:rPr>
          <w:rFonts w:ascii="Times New Roman" w:eastAsia="宋体" w:hAnsi="Times New Roman"/>
          <w:bCs/>
          <w:color w:val="0D0D0D"/>
          <w:sz w:val="24"/>
          <w:szCs w:val="24"/>
        </w:rPr>
        <w:t>Attachment 1:</w:t>
      </w:r>
    </w:p>
    <w:p w14:paraId="7A5EE04C" w14:textId="77777777" w:rsidR="00532A7F" w:rsidRDefault="00532A7F" w:rsidP="00532A7F">
      <w:pPr>
        <w:widowControl/>
        <w:shd w:val="clear" w:color="auto" w:fill="FFFFFF"/>
        <w:spacing w:before="200" w:line="288" w:lineRule="auto"/>
        <w:jc w:val="center"/>
        <w:rPr>
          <w:rFonts w:ascii="Times New Roman" w:eastAsia="宋体" w:hAnsi="Times New Roman"/>
          <w:b/>
          <w:bCs/>
          <w:color w:val="333333"/>
          <w:kern w:val="0"/>
          <w:sz w:val="24"/>
          <w:szCs w:val="24"/>
        </w:rPr>
      </w:pPr>
    </w:p>
    <w:p w14:paraId="24CFAE9C" w14:textId="77777777" w:rsidR="00532A7F" w:rsidRDefault="00532A7F" w:rsidP="00532A7F">
      <w:pPr>
        <w:widowControl/>
        <w:shd w:val="clear" w:color="auto" w:fill="FFFFFF"/>
        <w:spacing w:before="200" w:line="288" w:lineRule="auto"/>
        <w:jc w:val="center"/>
        <w:outlineLvl w:val="1"/>
        <w:rPr>
          <w:rFonts w:ascii="Times New Roman" w:eastAsia="宋体" w:hAnsi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333333"/>
          <w:kern w:val="0"/>
          <w:sz w:val="24"/>
          <w:szCs w:val="24"/>
        </w:rPr>
        <w:t xml:space="preserve">Measures for Information Management of Dalian Commodity Exchange </w:t>
      </w:r>
    </w:p>
    <w:p w14:paraId="4E6A58D5" w14:textId="77777777" w:rsidR="00532A7F" w:rsidRDefault="00532A7F" w:rsidP="00532A7F">
      <w:pPr>
        <w:widowControl/>
        <w:shd w:val="clear" w:color="auto" w:fill="FFFFFF"/>
        <w:spacing w:before="200" w:line="288" w:lineRule="auto"/>
        <w:jc w:val="center"/>
        <w:rPr>
          <w:rFonts w:ascii="Times New Roman" w:eastAsia="宋体" w:hAnsi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333333"/>
          <w:kern w:val="0"/>
          <w:sz w:val="24"/>
          <w:szCs w:val="24"/>
        </w:rPr>
        <w:t>(Amendment)</w:t>
      </w:r>
    </w:p>
    <w:p w14:paraId="60DECC21" w14:textId="77777777" w:rsidR="00532A7F" w:rsidRDefault="00532A7F" w:rsidP="00532A7F">
      <w:pPr>
        <w:widowControl/>
        <w:shd w:val="clear" w:color="auto" w:fill="FFFFFF"/>
        <w:spacing w:before="200" w:line="288" w:lineRule="auto"/>
        <w:rPr>
          <w:rFonts w:ascii="Times New Roman" w:eastAsia="宋体" w:hAnsi="Times New Roman"/>
          <w:color w:val="333333"/>
          <w:kern w:val="0"/>
          <w:sz w:val="24"/>
          <w:szCs w:val="24"/>
        </w:rPr>
      </w:pPr>
    </w:p>
    <w:p w14:paraId="5E49E547" w14:textId="77777777" w:rsidR="00532A7F" w:rsidRDefault="00532A7F" w:rsidP="00532A7F">
      <w:pPr>
        <w:pStyle w:val="Style8"/>
        <w:widowControl w:val="0"/>
        <w:numPr>
          <w:ilvl w:val="0"/>
          <w:numId w:val="1"/>
        </w:numPr>
        <w:spacing w:before="200" w:line="288" w:lineRule="auto"/>
        <w:ind w:left="1259" w:firstLineChars="0" w:hanging="125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daily information means the trading information of the then-current day published after the market closing of each trading day.</w:t>
      </w:r>
    </w:p>
    <w:p w14:paraId="53EDC615" w14:textId="77777777" w:rsidR="00532A7F" w:rsidRDefault="00532A7F" w:rsidP="00532A7F">
      <w:pPr>
        <w:spacing w:before="200" w:line="288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63D5060B" w14:textId="77777777" w:rsidR="00532A7F" w:rsidRDefault="00532A7F" w:rsidP="00532A7F">
      <w:pPr>
        <w:spacing w:before="200" w:line="288" w:lineRule="auto"/>
        <w:ind w:leftChars="607" w:left="1839" w:hangingChars="235" w:hanging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(3)</w:t>
      </w:r>
      <w:r>
        <w:rPr>
          <w:rFonts w:ascii="Times New Roman" w:hAnsi="Times New Roman"/>
          <w:i/>
          <w:sz w:val="24"/>
          <w:szCs w:val="24"/>
        </w:rPr>
        <w:t xml:space="preserve">  delivery information</w:t>
      </w:r>
      <w:r>
        <w:rPr>
          <w:rFonts w:ascii="Times New Roman" w:hAnsi="Times New Roman"/>
          <w:sz w:val="24"/>
          <w:szCs w:val="24"/>
        </w:rPr>
        <w:t xml:space="preserve">: the member numbers, matching quantities and other matching information published after the settlement on the </w:t>
      </w:r>
      <w:r>
        <w:rPr>
          <w:rFonts w:ascii="Times New Roman" w:hAnsi="Times New Roman"/>
          <w:dstrike/>
          <w:sz w:val="24"/>
          <w:szCs w:val="24"/>
        </w:rPr>
        <w:t>rolling delivery and one-off delivery</w:t>
      </w:r>
      <w:r>
        <w:rPr>
          <w:rFonts w:ascii="Times New Roman" w:hAnsi="Times New Roman"/>
          <w:sz w:val="24"/>
          <w:szCs w:val="24"/>
        </w:rPr>
        <w:t xml:space="preserve"> matching day; and the member numbers, matching quantities and other matching information published after the settlement on the then-current day of exchange of futures for physicals ("</w:t>
      </w:r>
      <w:r>
        <w:rPr>
          <w:rFonts w:ascii="Times New Roman" w:hAnsi="Times New Roman"/>
          <w:b/>
          <w:sz w:val="24"/>
          <w:szCs w:val="24"/>
        </w:rPr>
        <w:t>EFP</w:t>
      </w:r>
      <w:r>
        <w:rPr>
          <w:rFonts w:ascii="Times New Roman" w:hAnsi="Times New Roman"/>
          <w:sz w:val="24"/>
          <w:szCs w:val="24"/>
        </w:rPr>
        <w:t>") trading. Any Non-Futures Company Member number in the matching information will not be published;</w:t>
      </w:r>
    </w:p>
    <w:p w14:paraId="7E55BBD8" w14:textId="77777777" w:rsidR="00532A7F" w:rsidRDefault="00532A7F" w:rsidP="00532A7F">
      <w:pPr>
        <w:spacing w:before="200" w:line="288" w:lineRule="auto"/>
        <w:ind w:leftChars="607" w:left="1839" w:hangingChars="235" w:hanging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A14443B" w14:textId="77777777" w:rsidR="00532A7F" w:rsidRDefault="00532A7F" w:rsidP="00532A7F">
      <w:pPr>
        <w:widowControl/>
        <w:shd w:val="clear" w:color="auto" w:fill="FFFFFF"/>
        <w:spacing w:before="200" w:line="288" w:lineRule="auto"/>
        <w:rPr>
          <w:rFonts w:ascii="Times New Roman" w:eastAsia="宋体" w:hAnsi="Times New Roman"/>
          <w:color w:val="333333"/>
          <w:kern w:val="0"/>
          <w:sz w:val="24"/>
          <w:szCs w:val="24"/>
        </w:rPr>
      </w:pPr>
    </w:p>
    <w:p w14:paraId="368A6187" w14:textId="77777777" w:rsidR="00532A7F" w:rsidRDefault="00532A7F" w:rsidP="00532A7F">
      <w:pPr>
        <w:widowControl/>
        <w:shd w:val="clear" w:color="auto" w:fill="FFFFFF"/>
        <w:spacing w:before="200" w:line="288" w:lineRule="auto"/>
        <w:rPr>
          <w:rFonts w:ascii="Times New Roman" w:eastAsia="宋体" w:hAnsi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/>
          <w:b/>
          <w:i/>
          <w:color w:val="0D0D0D"/>
          <w:sz w:val="24"/>
          <w:szCs w:val="24"/>
        </w:rPr>
        <w:t>Note:</w:t>
      </w:r>
      <w:r>
        <w:rPr>
          <w:rFonts w:ascii="Times New Roman" w:eastAsia="宋体" w:hAnsi="Times New Roman"/>
          <w:i/>
          <w:color w:val="0D0D0D"/>
          <w:sz w:val="24"/>
          <w:szCs w:val="24"/>
        </w:rPr>
        <w:t xml:space="preserve"> Contents deleted are marked with double strikethrough;</w:t>
      </w:r>
      <w:r>
        <w:rPr>
          <w:rFonts w:ascii="Times New Roman" w:eastAsia="宋体" w:hAnsi="Times New Roman"/>
          <w:i/>
          <w:color w:val="000000"/>
          <w:sz w:val="24"/>
          <w:szCs w:val="24"/>
        </w:rPr>
        <w:t xml:space="preserve"> clauses unchanged are represented by ellipsis.</w:t>
      </w:r>
    </w:p>
    <w:p w14:paraId="4BB20887" w14:textId="77777777" w:rsidR="008619F9" w:rsidRPr="00532A7F" w:rsidRDefault="008619F9">
      <w:bookmarkStart w:id="0" w:name="_GoBack"/>
      <w:bookmarkEnd w:id="0"/>
    </w:p>
    <w:sectPr w:rsidR="008619F9" w:rsidRPr="0053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CC67" w14:textId="77777777" w:rsidR="00BB503B" w:rsidRDefault="00BB503B" w:rsidP="00532A7F">
      <w:r>
        <w:separator/>
      </w:r>
    </w:p>
  </w:endnote>
  <w:endnote w:type="continuationSeparator" w:id="0">
    <w:p w14:paraId="24EA87D0" w14:textId="77777777" w:rsidR="00BB503B" w:rsidRDefault="00BB503B" w:rsidP="0053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C275D" w14:textId="77777777" w:rsidR="00BB503B" w:rsidRDefault="00BB503B" w:rsidP="00532A7F">
      <w:r>
        <w:separator/>
      </w:r>
    </w:p>
  </w:footnote>
  <w:footnote w:type="continuationSeparator" w:id="0">
    <w:p w14:paraId="5A7C283D" w14:textId="77777777" w:rsidR="00BB503B" w:rsidRDefault="00BB503B" w:rsidP="0053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515DB"/>
    <w:multiLevelType w:val="multilevel"/>
    <w:tmpl w:val="5BF515DB"/>
    <w:lvl w:ilvl="0">
      <w:start w:val="9"/>
      <w:numFmt w:val="decimal"/>
      <w:lvlText w:val="Article %1"/>
      <w:lvlJc w:val="left"/>
      <w:pPr>
        <w:ind w:left="420" w:hanging="4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9"/>
    <w:rsid w:val="00532A7F"/>
    <w:rsid w:val="008619F9"/>
    <w:rsid w:val="00BB503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7C8EA-086D-4242-BA39-FDF5003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7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A7F"/>
    <w:rPr>
      <w:sz w:val="18"/>
      <w:szCs w:val="18"/>
    </w:rPr>
  </w:style>
  <w:style w:type="paragraph" w:customStyle="1" w:styleId="Style8">
    <w:name w:val="_Style 8"/>
    <w:basedOn w:val="a"/>
    <w:next w:val="a7"/>
    <w:uiPriority w:val="34"/>
    <w:qFormat/>
    <w:rsid w:val="00532A7F"/>
    <w:pPr>
      <w:widowControl/>
      <w:spacing w:line="560" w:lineRule="exact"/>
      <w:ind w:firstLineChars="200" w:firstLine="420"/>
    </w:pPr>
    <w:rPr>
      <w:rFonts w:ascii="Times New Roman" w:eastAsia="宋体" w:hAnsi="Times New Roman"/>
      <w:color w:val="333333"/>
      <w:kern w:val="0"/>
      <w:sz w:val="30"/>
      <w:szCs w:val="18"/>
    </w:rPr>
  </w:style>
  <w:style w:type="paragraph" w:styleId="a7">
    <w:name w:val="List Paragraph"/>
    <w:basedOn w:val="a"/>
    <w:uiPriority w:val="34"/>
    <w:qFormat/>
    <w:rsid w:val="00532A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Wang</dc:creator>
  <cp:keywords/>
  <dc:description/>
  <cp:lastModifiedBy>Jialin Wang</cp:lastModifiedBy>
  <cp:revision>2</cp:revision>
  <dcterms:created xsi:type="dcterms:W3CDTF">2020-12-11T08:35:00Z</dcterms:created>
  <dcterms:modified xsi:type="dcterms:W3CDTF">2020-12-11T08:35:00Z</dcterms:modified>
</cp:coreProperties>
</file>