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8037E2" w14:textId="77777777" w:rsidR="007C520E" w:rsidRDefault="007C520E" w:rsidP="007C520E">
      <w:pPr>
        <w:widowControl/>
        <w:spacing w:before="200" w:line="288" w:lineRule="auto"/>
        <w:jc w:val="left"/>
        <w:outlineLvl w:val="0"/>
        <w:rPr>
          <w:rFonts w:ascii="Times New Roman" w:eastAsia="宋体" w:hAnsi="Times New Roman"/>
          <w:sz w:val="24"/>
          <w:szCs w:val="24"/>
        </w:rPr>
      </w:pPr>
      <w:r>
        <w:rPr>
          <w:rFonts w:ascii="Times New Roman" w:eastAsia="宋体" w:hAnsi="Times New Roman"/>
          <w:bCs/>
          <w:color w:val="0D0D0D"/>
          <w:sz w:val="24"/>
          <w:szCs w:val="24"/>
        </w:rPr>
        <w:t>Attachment 2:</w:t>
      </w:r>
      <w:bookmarkStart w:id="0" w:name="_GoBack"/>
      <w:bookmarkEnd w:id="0"/>
    </w:p>
    <w:p w14:paraId="65ECA394" w14:textId="77777777" w:rsidR="007C520E" w:rsidRDefault="007C520E" w:rsidP="007C520E">
      <w:pPr>
        <w:widowControl/>
        <w:shd w:val="clear" w:color="auto" w:fill="FFFFFF"/>
        <w:spacing w:before="200" w:line="288" w:lineRule="auto"/>
        <w:jc w:val="center"/>
        <w:rPr>
          <w:rFonts w:ascii="Times New Roman" w:eastAsia="宋体" w:hAnsi="Times New Roman"/>
          <w:b/>
          <w:bCs/>
          <w:color w:val="333333"/>
          <w:kern w:val="0"/>
          <w:sz w:val="24"/>
          <w:szCs w:val="24"/>
        </w:rPr>
      </w:pPr>
    </w:p>
    <w:p w14:paraId="424C53BC" w14:textId="77777777" w:rsidR="007C520E" w:rsidRDefault="007C520E" w:rsidP="007C520E">
      <w:pPr>
        <w:widowControl/>
        <w:shd w:val="clear" w:color="auto" w:fill="FFFFFF"/>
        <w:spacing w:before="200" w:line="288" w:lineRule="auto"/>
        <w:jc w:val="center"/>
        <w:outlineLvl w:val="1"/>
        <w:rPr>
          <w:rFonts w:ascii="Times New Roman" w:eastAsia="宋体" w:hAnsi="Times New Roman"/>
          <w:b/>
          <w:bCs/>
          <w:color w:val="333333"/>
          <w:kern w:val="0"/>
          <w:sz w:val="24"/>
          <w:szCs w:val="24"/>
        </w:rPr>
      </w:pPr>
      <w:r>
        <w:rPr>
          <w:rFonts w:ascii="Times New Roman" w:eastAsia="宋体" w:hAnsi="Times New Roman"/>
          <w:b/>
          <w:bCs/>
          <w:color w:val="333333"/>
          <w:kern w:val="0"/>
          <w:sz w:val="24"/>
          <w:szCs w:val="24"/>
        </w:rPr>
        <w:t>Measures for Information Management of Dalian Commodity Exchange</w:t>
      </w:r>
    </w:p>
    <w:p w14:paraId="05352D84" w14:textId="77777777" w:rsidR="007C520E" w:rsidRDefault="007C520E" w:rsidP="007C520E">
      <w:pPr>
        <w:widowControl/>
        <w:shd w:val="clear" w:color="auto" w:fill="FFFFFF"/>
        <w:spacing w:before="200" w:line="288" w:lineRule="auto"/>
        <w:jc w:val="center"/>
        <w:rPr>
          <w:rFonts w:ascii="Times New Roman" w:eastAsia="宋体" w:hAnsi="Times New Roman"/>
          <w:b/>
          <w:bCs/>
          <w:color w:val="333333"/>
          <w:kern w:val="0"/>
          <w:sz w:val="24"/>
          <w:szCs w:val="24"/>
        </w:rPr>
      </w:pPr>
      <w:r>
        <w:rPr>
          <w:rFonts w:ascii="Times New Roman" w:eastAsia="宋体" w:hAnsi="Times New Roman"/>
          <w:b/>
          <w:bCs/>
          <w:color w:val="333333"/>
          <w:kern w:val="0"/>
          <w:sz w:val="24"/>
          <w:szCs w:val="24"/>
        </w:rPr>
        <w:t>(Amended Version)</w:t>
      </w:r>
    </w:p>
    <w:p w14:paraId="641FC8BD" w14:textId="77777777" w:rsidR="007C520E" w:rsidRDefault="007C520E" w:rsidP="007C520E">
      <w:pPr>
        <w:spacing w:before="200" w:line="288" w:lineRule="auto"/>
        <w:jc w:val="center"/>
        <w:rPr>
          <w:rFonts w:ascii="Times New Roman" w:eastAsia="宋体" w:hAnsi="Times New Roman"/>
          <w:sz w:val="24"/>
          <w:szCs w:val="24"/>
        </w:rPr>
      </w:pPr>
    </w:p>
    <w:p w14:paraId="3264E5CF" w14:textId="77777777" w:rsidR="007C520E" w:rsidRDefault="007C520E" w:rsidP="007C520E">
      <w:pPr>
        <w:spacing w:before="200" w:line="288" w:lineRule="auto"/>
        <w:jc w:val="center"/>
        <w:rPr>
          <w:rFonts w:ascii="Times New Roman" w:hAnsi="Times New Roman"/>
          <w:b/>
          <w:sz w:val="24"/>
          <w:szCs w:val="24"/>
        </w:rPr>
      </w:pPr>
      <w:r>
        <w:rPr>
          <w:rFonts w:ascii="Times New Roman" w:hAnsi="Times New Roman"/>
          <w:b/>
          <w:sz w:val="24"/>
          <w:szCs w:val="24"/>
        </w:rPr>
        <w:t xml:space="preserve">Chapter </w:t>
      </w:r>
      <w:proofErr w:type="gramStart"/>
      <w:r>
        <w:rPr>
          <w:rFonts w:ascii="Times New Roman" w:hAnsi="Times New Roman"/>
          <w:b/>
          <w:sz w:val="24"/>
          <w:szCs w:val="24"/>
        </w:rPr>
        <w:t>I  General</w:t>
      </w:r>
      <w:proofErr w:type="gramEnd"/>
      <w:r>
        <w:rPr>
          <w:rFonts w:ascii="Times New Roman" w:hAnsi="Times New Roman"/>
          <w:b/>
          <w:sz w:val="24"/>
          <w:szCs w:val="24"/>
        </w:rPr>
        <w:t xml:space="preserve"> Provisions</w:t>
      </w:r>
    </w:p>
    <w:p w14:paraId="63D1064C" w14:textId="77777777" w:rsidR="007C520E" w:rsidRDefault="007C520E" w:rsidP="007C520E">
      <w:pPr>
        <w:pStyle w:val="Style8"/>
        <w:widowControl w:val="0"/>
        <w:numPr>
          <w:ilvl w:val="0"/>
          <w:numId w:val="1"/>
        </w:numPr>
        <w:spacing w:before="200" w:line="288" w:lineRule="auto"/>
        <w:ind w:left="1259" w:firstLineChars="0" w:hanging="1259"/>
        <w:rPr>
          <w:color w:val="auto"/>
          <w:sz w:val="24"/>
          <w:szCs w:val="24"/>
        </w:rPr>
      </w:pPr>
      <w:r>
        <w:rPr>
          <w:color w:val="auto"/>
          <w:sz w:val="24"/>
          <w:szCs w:val="24"/>
        </w:rPr>
        <w:t>The Measures for Information Management of Dalian Commodity Exchange (the "</w:t>
      </w:r>
      <w:r>
        <w:rPr>
          <w:b/>
          <w:color w:val="auto"/>
          <w:sz w:val="24"/>
          <w:szCs w:val="24"/>
        </w:rPr>
        <w:t>Measures</w:t>
      </w:r>
      <w:r>
        <w:rPr>
          <w:color w:val="auto"/>
          <w:sz w:val="24"/>
          <w:szCs w:val="24"/>
        </w:rPr>
        <w:t>") are formulated pursuant to the Trading Rules of Dalian Commodity Exchange for the purposes of regulating the publicity, dissemination and use of the information of Dalian Commodity Exchange (the "</w:t>
      </w:r>
      <w:r>
        <w:rPr>
          <w:b/>
          <w:color w:val="auto"/>
          <w:sz w:val="24"/>
          <w:szCs w:val="24"/>
        </w:rPr>
        <w:t>Exchange</w:t>
      </w:r>
      <w:r>
        <w:rPr>
          <w:color w:val="auto"/>
          <w:sz w:val="24"/>
          <w:szCs w:val="24"/>
        </w:rPr>
        <w:t>"), promoting an open and transparent market, ensuring that the information can be acquired on an accurate, timely and completely basis by market participants, and protecting the intellectual property rights of the information of the Exchange.</w:t>
      </w:r>
    </w:p>
    <w:p w14:paraId="64EB721D" w14:textId="77777777" w:rsidR="007C520E" w:rsidRDefault="007C520E" w:rsidP="007C520E">
      <w:pPr>
        <w:pStyle w:val="Style8"/>
        <w:widowControl w:val="0"/>
        <w:numPr>
          <w:ilvl w:val="0"/>
          <w:numId w:val="1"/>
        </w:numPr>
        <w:spacing w:before="200" w:line="288" w:lineRule="auto"/>
        <w:ind w:left="1259" w:firstLineChars="0" w:hanging="1259"/>
        <w:rPr>
          <w:color w:val="auto"/>
          <w:sz w:val="24"/>
          <w:szCs w:val="24"/>
        </w:rPr>
      </w:pPr>
      <w:r>
        <w:rPr>
          <w:color w:val="auto"/>
          <w:sz w:val="24"/>
          <w:szCs w:val="24"/>
        </w:rPr>
        <w:t>Information in the Measures means the market data relating to the listed products generated in trading activities on the Exchange, various trading statistics, all announcements and notices released by the Exchange, and other relevant information required to be disclosed by the China Securities Regulatory Commission ("</w:t>
      </w:r>
      <w:r>
        <w:rPr>
          <w:b/>
          <w:color w:val="auto"/>
          <w:sz w:val="24"/>
          <w:szCs w:val="24"/>
        </w:rPr>
        <w:t>CSRC</w:t>
      </w:r>
      <w:r>
        <w:rPr>
          <w:color w:val="auto"/>
          <w:sz w:val="24"/>
          <w:szCs w:val="24"/>
        </w:rPr>
        <w:t>").</w:t>
      </w:r>
    </w:p>
    <w:p w14:paraId="3785C0F1" w14:textId="77777777" w:rsidR="007C520E" w:rsidRDefault="007C520E" w:rsidP="007C520E">
      <w:pPr>
        <w:pStyle w:val="Style8"/>
        <w:widowControl w:val="0"/>
        <w:numPr>
          <w:ilvl w:val="0"/>
          <w:numId w:val="1"/>
        </w:numPr>
        <w:spacing w:before="200" w:line="288" w:lineRule="auto"/>
        <w:ind w:left="1259" w:firstLineChars="0" w:hanging="1259"/>
        <w:rPr>
          <w:color w:val="auto"/>
          <w:sz w:val="24"/>
          <w:szCs w:val="24"/>
        </w:rPr>
      </w:pPr>
      <w:r>
        <w:rPr>
          <w:color w:val="auto"/>
          <w:sz w:val="24"/>
          <w:szCs w:val="24"/>
        </w:rPr>
        <w:t xml:space="preserve">The Exchange is entitled to the ownership of the information. The Exchange may operate and manage the Exchange's information independently, or through cooperation with any third party or by authorizing any third party. </w:t>
      </w:r>
    </w:p>
    <w:p w14:paraId="2147A170" w14:textId="77777777" w:rsidR="007C520E" w:rsidRDefault="007C520E" w:rsidP="007C520E">
      <w:pPr>
        <w:pStyle w:val="Style8"/>
        <w:widowControl w:val="0"/>
        <w:numPr>
          <w:ilvl w:val="0"/>
          <w:numId w:val="1"/>
        </w:numPr>
        <w:spacing w:before="200" w:line="288" w:lineRule="auto"/>
        <w:ind w:left="1259" w:firstLineChars="0" w:hanging="1259"/>
        <w:rPr>
          <w:color w:val="auto"/>
          <w:sz w:val="24"/>
          <w:szCs w:val="24"/>
        </w:rPr>
      </w:pPr>
      <w:r>
        <w:rPr>
          <w:color w:val="auto"/>
          <w:sz w:val="24"/>
          <w:szCs w:val="24"/>
        </w:rPr>
        <w:t>The Exchange provides information on a commercial basis except otherwise required by applicable laws, administrative regulations, department rules, memorandum on regulatory cooperation or related agreements for the purpose of assisting regulatory authorities or other related organs in performing their regulatory duties.</w:t>
      </w:r>
    </w:p>
    <w:p w14:paraId="54090EE4" w14:textId="77777777" w:rsidR="007C520E" w:rsidRDefault="007C520E" w:rsidP="007C520E">
      <w:pPr>
        <w:pStyle w:val="Style8"/>
        <w:widowControl w:val="0"/>
        <w:numPr>
          <w:ilvl w:val="0"/>
          <w:numId w:val="1"/>
        </w:numPr>
        <w:spacing w:before="200" w:line="288" w:lineRule="auto"/>
        <w:ind w:left="1259" w:firstLineChars="0" w:hanging="1259"/>
        <w:rPr>
          <w:color w:val="auto"/>
          <w:sz w:val="24"/>
          <w:szCs w:val="24"/>
        </w:rPr>
      </w:pPr>
      <w:r>
        <w:rPr>
          <w:color w:val="auto"/>
          <w:sz w:val="24"/>
          <w:szCs w:val="24"/>
        </w:rPr>
        <w:t>No entity or individual may publish, operate, develop with value-added, disseminate or use the Exchange's information without the Exchange's authorization or permission.</w:t>
      </w:r>
    </w:p>
    <w:p w14:paraId="7A8D2C6C" w14:textId="77777777" w:rsidR="007C520E" w:rsidRDefault="007C520E" w:rsidP="007C520E">
      <w:pPr>
        <w:pStyle w:val="Style8"/>
        <w:widowControl w:val="0"/>
        <w:numPr>
          <w:ilvl w:val="0"/>
          <w:numId w:val="1"/>
        </w:numPr>
        <w:spacing w:before="200" w:line="288" w:lineRule="auto"/>
        <w:ind w:left="1259" w:firstLineChars="0" w:hanging="1259"/>
        <w:rPr>
          <w:color w:val="FF0000"/>
          <w:sz w:val="24"/>
          <w:szCs w:val="24"/>
        </w:rPr>
      </w:pPr>
      <w:r>
        <w:rPr>
          <w:color w:val="auto"/>
          <w:sz w:val="24"/>
          <w:szCs w:val="24"/>
        </w:rPr>
        <w:lastRenderedPageBreak/>
        <w:t xml:space="preserve">The Measures shall apply to the publicity, dissemination and use of the Exchange's information. The Exchange, Members, overseas brokers, designated delivery warehouses, information service institutions, software developers, clients and other entities and individuals that disseminate or use the Exchange's information must comply with the Measures. </w:t>
      </w:r>
    </w:p>
    <w:p w14:paraId="14EE2525" w14:textId="77777777" w:rsidR="007C520E" w:rsidRDefault="007C520E" w:rsidP="007C520E">
      <w:pPr>
        <w:spacing w:before="200" w:line="288" w:lineRule="auto"/>
        <w:jc w:val="center"/>
        <w:rPr>
          <w:rFonts w:ascii="Times New Roman" w:hAnsi="Times New Roman"/>
          <w:b/>
          <w:sz w:val="24"/>
          <w:szCs w:val="24"/>
        </w:rPr>
      </w:pPr>
      <w:r>
        <w:rPr>
          <w:rFonts w:ascii="Times New Roman" w:hAnsi="Times New Roman"/>
          <w:b/>
          <w:sz w:val="24"/>
          <w:szCs w:val="24"/>
        </w:rPr>
        <w:t xml:space="preserve">Chapter </w:t>
      </w:r>
      <w:proofErr w:type="gramStart"/>
      <w:r>
        <w:rPr>
          <w:rFonts w:ascii="Times New Roman" w:hAnsi="Times New Roman"/>
          <w:b/>
          <w:sz w:val="24"/>
          <w:szCs w:val="24"/>
        </w:rPr>
        <w:t>II  Information</w:t>
      </w:r>
      <w:proofErr w:type="gramEnd"/>
      <w:r>
        <w:rPr>
          <w:rFonts w:ascii="Times New Roman" w:hAnsi="Times New Roman"/>
          <w:b/>
          <w:sz w:val="24"/>
          <w:szCs w:val="24"/>
        </w:rPr>
        <w:t xml:space="preserve"> Contents and Publicity</w:t>
      </w:r>
    </w:p>
    <w:p w14:paraId="0F13C44D" w14:textId="77777777" w:rsidR="007C520E" w:rsidRDefault="007C520E" w:rsidP="007C520E">
      <w:pPr>
        <w:pStyle w:val="Style8"/>
        <w:widowControl w:val="0"/>
        <w:numPr>
          <w:ilvl w:val="0"/>
          <w:numId w:val="1"/>
        </w:numPr>
        <w:spacing w:before="200" w:line="288" w:lineRule="auto"/>
        <w:ind w:left="1259" w:firstLineChars="0" w:hanging="1259"/>
        <w:rPr>
          <w:color w:val="auto"/>
          <w:sz w:val="24"/>
          <w:szCs w:val="24"/>
        </w:rPr>
      </w:pPr>
      <w:r>
        <w:rPr>
          <w:color w:val="auto"/>
          <w:sz w:val="24"/>
          <w:szCs w:val="24"/>
        </w:rPr>
        <w:t>The Exchange shall publish the trading information at different levels on a real-time, delayed, daily, weekly, and monthly basis, as well as other statistics and historical data, in accordance with relevant regulations and market requirements.</w:t>
      </w:r>
    </w:p>
    <w:p w14:paraId="045E78DF" w14:textId="77777777" w:rsidR="007C520E" w:rsidRDefault="007C520E" w:rsidP="007C520E">
      <w:pPr>
        <w:pStyle w:val="Style8"/>
        <w:widowControl w:val="0"/>
        <w:numPr>
          <w:ilvl w:val="0"/>
          <w:numId w:val="1"/>
        </w:numPr>
        <w:spacing w:before="200" w:line="288" w:lineRule="auto"/>
        <w:ind w:left="1259" w:firstLineChars="0" w:hanging="1259"/>
        <w:rPr>
          <w:color w:val="auto"/>
          <w:sz w:val="24"/>
          <w:szCs w:val="24"/>
        </w:rPr>
      </w:pPr>
      <w:r>
        <w:rPr>
          <w:color w:val="auto"/>
          <w:sz w:val="24"/>
          <w:szCs w:val="24"/>
        </w:rPr>
        <w:t>The real-time information means the consecutive market quotation information which is generally synchronized with the centralized transactions displayed at the Exchange. The contents of such information mainly include: product name, delivery month, last price, price change, trading volume, open interest, bid price, offer price, bid quantity, offer quantity, settlement price, opening price, closing price, highest price, lowest price, and previous settlement price.</w:t>
      </w:r>
    </w:p>
    <w:p w14:paraId="374FADA6" w14:textId="77777777" w:rsidR="007C520E" w:rsidRDefault="007C520E" w:rsidP="007C520E">
      <w:pPr>
        <w:pStyle w:val="Style8"/>
        <w:widowControl w:val="0"/>
        <w:numPr>
          <w:ilvl w:val="0"/>
          <w:numId w:val="1"/>
        </w:numPr>
        <w:spacing w:before="200" w:line="288" w:lineRule="auto"/>
        <w:ind w:left="1259" w:firstLineChars="0" w:hanging="1259"/>
        <w:rPr>
          <w:color w:val="auto"/>
          <w:sz w:val="24"/>
          <w:szCs w:val="24"/>
        </w:rPr>
      </w:pPr>
      <w:r>
        <w:rPr>
          <w:color w:val="auto"/>
          <w:sz w:val="24"/>
          <w:szCs w:val="24"/>
        </w:rPr>
        <w:t>The daily information means the trading information of the then-current day published after the market closing of each trading day.</w:t>
      </w:r>
    </w:p>
    <w:p w14:paraId="06C57A59" w14:textId="77777777" w:rsidR="007C520E" w:rsidRDefault="007C520E" w:rsidP="007C520E">
      <w:pPr>
        <w:spacing w:before="200" w:line="288" w:lineRule="auto"/>
        <w:ind w:left="1260"/>
        <w:rPr>
          <w:rFonts w:ascii="Times New Roman" w:hAnsi="Times New Roman"/>
          <w:sz w:val="24"/>
          <w:szCs w:val="24"/>
        </w:rPr>
      </w:pPr>
      <w:r>
        <w:rPr>
          <w:rFonts w:ascii="Times New Roman" w:hAnsi="Times New Roman"/>
          <w:sz w:val="24"/>
          <w:szCs w:val="24"/>
        </w:rPr>
        <w:t>The contents of the daily information mainly include:</w:t>
      </w:r>
    </w:p>
    <w:p w14:paraId="60F34EEB" w14:textId="77777777" w:rsidR="007C520E" w:rsidRDefault="007C520E" w:rsidP="007C520E">
      <w:pPr>
        <w:pStyle w:val="Style8"/>
        <w:widowControl w:val="0"/>
        <w:numPr>
          <w:ilvl w:val="1"/>
          <w:numId w:val="2"/>
        </w:numPr>
        <w:spacing w:before="200" w:line="288" w:lineRule="auto"/>
        <w:ind w:left="1798" w:firstLineChars="0" w:hanging="539"/>
        <w:rPr>
          <w:color w:val="auto"/>
          <w:sz w:val="24"/>
          <w:szCs w:val="24"/>
        </w:rPr>
      </w:pPr>
      <w:r>
        <w:rPr>
          <w:i/>
          <w:color w:val="auto"/>
          <w:sz w:val="24"/>
          <w:szCs w:val="24"/>
        </w:rPr>
        <w:t xml:space="preserve"> daily market data</w:t>
      </w:r>
      <w:r>
        <w:rPr>
          <w:color w:val="auto"/>
          <w:sz w:val="24"/>
          <w:szCs w:val="24"/>
        </w:rPr>
        <w:t>: product name, delivery month, opening price, highest price, lowest price, closing price, previous settlement price, settlement price, price change, trading volume, open interest, change of open interest, and turnover;</w:t>
      </w:r>
    </w:p>
    <w:p w14:paraId="71277C1D" w14:textId="77777777" w:rsidR="007C520E" w:rsidRDefault="007C520E" w:rsidP="007C520E">
      <w:pPr>
        <w:pStyle w:val="Style8"/>
        <w:widowControl w:val="0"/>
        <w:numPr>
          <w:ilvl w:val="1"/>
          <w:numId w:val="2"/>
        </w:numPr>
        <w:spacing w:before="200" w:line="288" w:lineRule="auto"/>
        <w:ind w:left="1798" w:firstLineChars="0" w:hanging="539"/>
        <w:rPr>
          <w:color w:val="auto"/>
          <w:sz w:val="24"/>
          <w:szCs w:val="24"/>
        </w:rPr>
      </w:pPr>
      <w:r>
        <w:rPr>
          <w:color w:val="auto"/>
          <w:sz w:val="24"/>
          <w:szCs w:val="24"/>
        </w:rPr>
        <w:t xml:space="preserve"> the active contract, and the trading volume and long/short positions of the top 20 Futures Company Members;</w:t>
      </w:r>
    </w:p>
    <w:p w14:paraId="12D15036" w14:textId="77777777" w:rsidR="007C520E" w:rsidRDefault="007C520E" w:rsidP="007C520E">
      <w:pPr>
        <w:pStyle w:val="Style8"/>
        <w:widowControl w:val="0"/>
        <w:numPr>
          <w:ilvl w:val="1"/>
          <w:numId w:val="2"/>
        </w:numPr>
        <w:spacing w:before="200" w:line="288" w:lineRule="auto"/>
        <w:ind w:left="1798" w:firstLineChars="0" w:hanging="539"/>
        <w:rPr>
          <w:color w:val="auto"/>
          <w:sz w:val="24"/>
          <w:szCs w:val="24"/>
        </w:rPr>
      </w:pPr>
      <w:r>
        <w:rPr>
          <w:i/>
          <w:color w:val="auto"/>
          <w:sz w:val="24"/>
          <w:szCs w:val="24"/>
        </w:rPr>
        <w:t xml:space="preserve"> delivery information</w:t>
      </w:r>
      <w:r>
        <w:rPr>
          <w:color w:val="auto"/>
          <w:sz w:val="24"/>
          <w:szCs w:val="24"/>
        </w:rPr>
        <w:t>: the member numbers, matching quantities and other matching information published after the settlement on the matching day; and the member numbers, matching quantities and other matching information published after the settlement on the then-current day of exchange of futures for physicals ("</w:t>
      </w:r>
      <w:r>
        <w:rPr>
          <w:b/>
          <w:color w:val="auto"/>
          <w:sz w:val="24"/>
          <w:szCs w:val="24"/>
        </w:rPr>
        <w:t>EFP</w:t>
      </w:r>
      <w:r>
        <w:rPr>
          <w:color w:val="auto"/>
          <w:sz w:val="24"/>
          <w:szCs w:val="24"/>
        </w:rPr>
        <w:t>") trading. Any Non-Futures Company Member number in the matching information will not be published;</w:t>
      </w:r>
    </w:p>
    <w:p w14:paraId="02FEDBD9" w14:textId="77777777" w:rsidR="007C520E" w:rsidRDefault="007C520E" w:rsidP="007C520E">
      <w:pPr>
        <w:pStyle w:val="Style8"/>
        <w:widowControl w:val="0"/>
        <w:numPr>
          <w:ilvl w:val="1"/>
          <w:numId w:val="2"/>
        </w:numPr>
        <w:spacing w:before="200" w:line="288" w:lineRule="auto"/>
        <w:ind w:left="1798" w:firstLineChars="0" w:hanging="539"/>
        <w:rPr>
          <w:color w:val="auto"/>
          <w:sz w:val="24"/>
          <w:szCs w:val="24"/>
        </w:rPr>
      </w:pPr>
      <w:r>
        <w:rPr>
          <w:color w:val="auto"/>
          <w:sz w:val="24"/>
          <w:szCs w:val="24"/>
        </w:rPr>
        <w:lastRenderedPageBreak/>
        <w:t xml:space="preserve"> the quantities of the standard warehouse receipts of the products and the changes from the last published quantities.</w:t>
      </w:r>
    </w:p>
    <w:p w14:paraId="0644B81A" w14:textId="77777777" w:rsidR="007C520E" w:rsidRDefault="007C520E" w:rsidP="007C520E">
      <w:pPr>
        <w:pStyle w:val="Style8"/>
        <w:widowControl w:val="0"/>
        <w:numPr>
          <w:ilvl w:val="0"/>
          <w:numId w:val="1"/>
        </w:numPr>
        <w:spacing w:before="200" w:line="288" w:lineRule="auto"/>
        <w:ind w:left="1259" w:firstLineChars="0" w:hanging="1259"/>
        <w:rPr>
          <w:color w:val="auto"/>
          <w:sz w:val="24"/>
          <w:szCs w:val="24"/>
        </w:rPr>
      </w:pPr>
      <w:r>
        <w:rPr>
          <w:color w:val="auto"/>
          <w:sz w:val="24"/>
          <w:szCs w:val="24"/>
        </w:rPr>
        <w:t>The weekly information means the trading information of the then-current week published after the market close of the last trading day of that week.</w:t>
      </w:r>
    </w:p>
    <w:p w14:paraId="15576DA1" w14:textId="77777777" w:rsidR="007C520E" w:rsidRDefault="007C520E" w:rsidP="007C520E">
      <w:pPr>
        <w:spacing w:before="200" w:line="288" w:lineRule="auto"/>
        <w:ind w:left="1260"/>
        <w:rPr>
          <w:rFonts w:ascii="Times New Roman" w:hAnsi="Times New Roman"/>
          <w:sz w:val="24"/>
          <w:szCs w:val="24"/>
        </w:rPr>
      </w:pPr>
      <w:r>
        <w:rPr>
          <w:rFonts w:ascii="Times New Roman" w:hAnsi="Times New Roman"/>
          <w:sz w:val="24"/>
          <w:szCs w:val="24"/>
        </w:rPr>
        <w:t>The contents of the weekly information mainly include: product name, delivery month, opening price of the first trading day of the week, highest price, lowest price, closing price of the last trading day of the week, price change (difference between the closing price of the last trading day of this week and the settlement price of the last trading day of last week), open interest, change of open interest (difference between the open interest of the last trading day of this week and the open interest of the last trading day of last week), settlement price of the last trading day of the week, trading volume, and turnover.</w:t>
      </w:r>
    </w:p>
    <w:p w14:paraId="56157C17" w14:textId="77777777" w:rsidR="007C520E" w:rsidRDefault="007C520E" w:rsidP="007C520E">
      <w:pPr>
        <w:pStyle w:val="Style8"/>
        <w:widowControl w:val="0"/>
        <w:numPr>
          <w:ilvl w:val="0"/>
          <w:numId w:val="1"/>
        </w:numPr>
        <w:spacing w:before="200" w:line="288" w:lineRule="auto"/>
        <w:ind w:left="1259" w:firstLineChars="0" w:hanging="1259"/>
        <w:rPr>
          <w:color w:val="auto"/>
          <w:sz w:val="24"/>
          <w:szCs w:val="24"/>
        </w:rPr>
      </w:pPr>
      <w:r>
        <w:rPr>
          <w:color w:val="auto"/>
          <w:sz w:val="24"/>
          <w:szCs w:val="24"/>
        </w:rPr>
        <w:t>The monthly information means the trading information of the then-current month published after the market close of the last trading day of each month.</w:t>
      </w:r>
    </w:p>
    <w:p w14:paraId="11465B4F" w14:textId="77777777" w:rsidR="007C520E" w:rsidRDefault="007C520E" w:rsidP="007C520E">
      <w:pPr>
        <w:spacing w:before="200" w:line="288" w:lineRule="auto"/>
        <w:ind w:left="1260"/>
        <w:rPr>
          <w:rFonts w:ascii="Times New Roman" w:hAnsi="Times New Roman"/>
          <w:sz w:val="24"/>
          <w:szCs w:val="24"/>
        </w:rPr>
      </w:pPr>
      <w:r>
        <w:rPr>
          <w:rFonts w:ascii="Times New Roman" w:hAnsi="Times New Roman"/>
          <w:sz w:val="24"/>
          <w:szCs w:val="24"/>
        </w:rPr>
        <w:t xml:space="preserve">The contents of the monthly information mainly include: </w:t>
      </w:r>
    </w:p>
    <w:p w14:paraId="53299281" w14:textId="77777777" w:rsidR="007C520E" w:rsidRDefault="007C520E" w:rsidP="007C520E">
      <w:pPr>
        <w:pStyle w:val="Style8"/>
        <w:widowControl w:val="0"/>
        <w:numPr>
          <w:ilvl w:val="1"/>
          <w:numId w:val="3"/>
        </w:numPr>
        <w:spacing w:before="200" w:line="288" w:lineRule="auto"/>
        <w:ind w:left="1798" w:firstLineChars="0" w:hanging="539"/>
        <w:rPr>
          <w:color w:val="auto"/>
          <w:sz w:val="24"/>
          <w:szCs w:val="24"/>
        </w:rPr>
      </w:pPr>
      <w:r>
        <w:rPr>
          <w:i/>
          <w:color w:val="auto"/>
          <w:sz w:val="24"/>
          <w:szCs w:val="24"/>
        </w:rPr>
        <w:t xml:space="preserve"> monthly market data</w:t>
      </w:r>
      <w:r>
        <w:rPr>
          <w:color w:val="auto"/>
          <w:sz w:val="24"/>
          <w:szCs w:val="24"/>
        </w:rPr>
        <w:t>: product name, delivery month, opening price of the first trading day of the month, highest price, lowest price, closing price of the last trading day of the month, price change (difference between the closing price of the last trading day of this month and the settlement price of the last trading day of last month), open interest, change of open interest (difference between the open interest of the last trading day of this month and the open interest of the last trading day of last month), settlement price of the last trading day, trading volume, and turnover.</w:t>
      </w:r>
    </w:p>
    <w:p w14:paraId="7CE65087" w14:textId="77777777" w:rsidR="007C520E" w:rsidRDefault="007C520E" w:rsidP="007C520E">
      <w:pPr>
        <w:pStyle w:val="Style8"/>
        <w:widowControl w:val="0"/>
        <w:numPr>
          <w:ilvl w:val="1"/>
          <w:numId w:val="3"/>
        </w:numPr>
        <w:spacing w:before="200" w:line="288" w:lineRule="auto"/>
        <w:ind w:left="1798" w:firstLineChars="0" w:hanging="539"/>
        <w:rPr>
          <w:color w:val="auto"/>
          <w:sz w:val="24"/>
          <w:szCs w:val="24"/>
          <w:shd w:val="pct10" w:color="auto" w:fill="FFFFFF"/>
        </w:rPr>
      </w:pPr>
      <w:r>
        <w:rPr>
          <w:i/>
          <w:color w:val="auto"/>
          <w:sz w:val="24"/>
          <w:szCs w:val="24"/>
        </w:rPr>
        <w:t xml:space="preserve"> monthly statistics of products</w:t>
      </w:r>
      <w:r>
        <w:rPr>
          <w:color w:val="auto"/>
          <w:sz w:val="24"/>
          <w:szCs w:val="24"/>
        </w:rPr>
        <w:t>: monthly and yearly accumulative trading volume and turnover of each product</w:t>
      </w:r>
    </w:p>
    <w:p w14:paraId="2AAC39F0" w14:textId="77777777" w:rsidR="007C520E" w:rsidRDefault="007C520E" w:rsidP="007C520E">
      <w:pPr>
        <w:pStyle w:val="Style8"/>
        <w:widowControl w:val="0"/>
        <w:numPr>
          <w:ilvl w:val="0"/>
          <w:numId w:val="1"/>
        </w:numPr>
        <w:spacing w:before="200" w:line="288" w:lineRule="auto"/>
        <w:ind w:left="1259" w:firstLineChars="0" w:hanging="1259"/>
        <w:rPr>
          <w:color w:val="auto"/>
          <w:sz w:val="24"/>
          <w:szCs w:val="24"/>
          <w:shd w:val="pct10" w:color="auto" w:fill="FFFFFF"/>
        </w:rPr>
      </w:pPr>
      <w:r>
        <w:rPr>
          <w:color w:val="auto"/>
          <w:sz w:val="24"/>
          <w:szCs w:val="24"/>
        </w:rPr>
        <w:t>The Exchange shall publish the delivery settlement price of each contract in a timely manner.</w:t>
      </w:r>
    </w:p>
    <w:p w14:paraId="2C377F6F" w14:textId="77777777" w:rsidR="007C520E" w:rsidRDefault="007C520E" w:rsidP="007C520E">
      <w:pPr>
        <w:pStyle w:val="Style8"/>
        <w:widowControl w:val="0"/>
        <w:numPr>
          <w:ilvl w:val="0"/>
          <w:numId w:val="1"/>
        </w:numPr>
        <w:spacing w:before="200" w:line="288" w:lineRule="auto"/>
        <w:ind w:left="1259" w:firstLineChars="0" w:hanging="1259"/>
        <w:rPr>
          <w:color w:val="auto"/>
          <w:sz w:val="24"/>
          <w:szCs w:val="24"/>
        </w:rPr>
      </w:pPr>
      <w:r>
        <w:rPr>
          <w:color w:val="auto"/>
          <w:sz w:val="24"/>
          <w:szCs w:val="24"/>
        </w:rPr>
        <w:t xml:space="preserve">The Exchange shall publish the information through the Member service system, the official website of the Exchange or any other channel. In addition, the Exchange could also publish the information through the </w:t>
      </w:r>
      <w:r>
        <w:rPr>
          <w:color w:val="auto"/>
          <w:sz w:val="24"/>
          <w:szCs w:val="24"/>
        </w:rPr>
        <w:lastRenderedPageBreak/>
        <w:t>information service institutions, public media or other entities authorized by the Exchange.</w:t>
      </w:r>
    </w:p>
    <w:p w14:paraId="68209798" w14:textId="77777777" w:rsidR="007C520E" w:rsidRDefault="007C520E" w:rsidP="007C520E">
      <w:pPr>
        <w:pStyle w:val="Style8"/>
        <w:widowControl w:val="0"/>
        <w:numPr>
          <w:ilvl w:val="0"/>
          <w:numId w:val="1"/>
        </w:numPr>
        <w:spacing w:before="200" w:line="288" w:lineRule="auto"/>
        <w:ind w:left="1259" w:firstLineChars="0" w:hanging="1259"/>
        <w:rPr>
          <w:color w:val="auto"/>
          <w:sz w:val="24"/>
          <w:szCs w:val="24"/>
        </w:rPr>
      </w:pPr>
      <w:r>
        <w:rPr>
          <w:color w:val="auto"/>
          <w:sz w:val="24"/>
          <w:szCs w:val="24"/>
        </w:rPr>
        <w:t>The Exchange shall not be liable for the interruption of information dissemination or failure to operate normally as a result of malfunction due to any force majeure event or any other reason that cannot be attributable to the Exchange. The Exchange shall timely explain to the public and resume the information dissemination or operation promptly.</w:t>
      </w:r>
    </w:p>
    <w:p w14:paraId="45648CFE" w14:textId="77777777" w:rsidR="007C520E" w:rsidRDefault="007C520E" w:rsidP="007C520E">
      <w:pPr>
        <w:pStyle w:val="Style8"/>
        <w:widowControl w:val="0"/>
        <w:numPr>
          <w:ilvl w:val="0"/>
          <w:numId w:val="1"/>
        </w:numPr>
        <w:spacing w:before="200" w:line="288" w:lineRule="auto"/>
        <w:ind w:left="1259" w:firstLineChars="0" w:hanging="1259"/>
        <w:rPr>
          <w:color w:val="auto"/>
          <w:sz w:val="24"/>
          <w:szCs w:val="24"/>
        </w:rPr>
      </w:pPr>
      <w:r>
        <w:rPr>
          <w:color w:val="auto"/>
          <w:sz w:val="24"/>
          <w:szCs w:val="24"/>
        </w:rPr>
        <w:t>The Exchange, Members, overseas brokers, designated delivery warehouses, information service institutions and other entities and individuals shall keep confidential the business secrets and other information that is inappropriately to be made public. The relevant information may be disclosed to the relevant regulatory authorities or any other relevant entities under the approval by the Exchange, provided that the confidential provisions have been properly implemented.</w:t>
      </w:r>
    </w:p>
    <w:p w14:paraId="3D81BFE5" w14:textId="77777777" w:rsidR="007C520E" w:rsidRDefault="007C520E" w:rsidP="007C520E">
      <w:pPr>
        <w:pStyle w:val="Style8"/>
        <w:widowControl w:val="0"/>
        <w:numPr>
          <w:ilvl w:val="0"/>
          <w:numId w:val="1"/>
        </w:numPr>
        <w:spacing w:before="200" w:line="288" w:lineRule="auto"/>
        <w:ind w:left="1259" w:firstLineChars="0" w:hanging="1259"/>
        <w:rPr>
          <w:color w:val="auto"/>
          <w:sz w:val="24"/>
          <w:szCs w:val="24"/>
        </w:rPr>
      </w:pPr>
      <w:r>
        <w:rPr>
          <w:color w:val="auto"/>
          <w:sz w:val="24"/>
          <w:szCs w:val="24"/>
        </w:rPr>
        <w:t>The Exchange, Members, overseas brokers, designated delivery warehouses, information service institutions or other entities or individuals, shall not publish any false or misleading information.</w:t>
      </w:r>
    </w:p>
    <w:p w14:paraId="35AB82F1" w14:textId="77777777" w:rsidR="007C520E" w:rsidRDefault="007C520E" w:rsidP="007C520E">
      <w:pPr>
        <w:spacing w:before="200" w:line="288" w:lineRule="auto"/>
        <w:jc w:val="center"/>
        <w:rPr>
          <w:rFonts w:ascii="Times New Roman" w:hAnsi="Times New Roman"/>
          <w:b/>
          <w:sz w:val="24"/>
          <w:szCs w:val="24"/>
        </w:rPr>
      </w:pPr>
      <w:r>
        <w:rPr>
          <w:rFonts w:ascii="Times New Roman" w:hAnsi="Times New Roman"/>
          <w:b/>
          <w:sz w:val="24"/>
          <w:szCs w:val="24"/>
        </w:rPr>
        <w:t xml:space="preserve">Chapter </w:t>
      </w:r>
      <w:proofErr w:type="gramStart"/>
      <w:r>
        <w:rPr>
          <w:rFonts w:ascii="Times New Roman" w:hAnsi="Times New Roman"/>
          <w:b/>
          <w:sz w:val="24"/>
          <w:szCs w:val="24"/>
        </w:rPr>
        <w:t>III  Dissemination</w:t>
      </w:r>
      <w:proofErr w:type="gramEnd"/>
      <w:r>
        <w:rPr>
          <w:rFonts w:ascii="Times New Roman" w:hAnsi="Times New Roman"/>
          <w:b/>
          <w:sz w:val="24"/>
          <w:szCs w:val="24"/>
        </w:rPr>
        <w:t xml:space="preserve"> and Use of Information</w:t>
      </w:r>
    </w:p>
    <w:p w14:paraId="0FCB2DB9" w14:textId="77777777" w:rsidR="007C520E" w:rsidRDefault="007C520E" w:rsidP="007C520E">
      <w:pPr>
        <w:pStyle w:val="Style8"/>
        <w:widowControl w:val="0"/>
        <w:numPr>
          <w:ilvl w:val="0"/>
          <w:numId w:val="1"/>
        </w:numPr>
        <w:spacing w:before="200" w:line="288" w:lineRule="auto"/>
        <w:ind w:left="1259" w:firstLineChars="0" w:hanging="1259"/>
        <w:rPr>
          <w:color w:val="auto"/>
          <w:sz w:val="24"/>
          <w:szCs w:val="24"/>
        </w:rPr>
      </w:pPr>
      <w:r>
        <w:rPr>
          <w:color w:val="auto"/>
          <w:sz w:val="24"/>
          <w:szCs w:val="24"/>
        </w:rPr>
        <w:t>Any entity or individual that disseminates the Exchange's information must obtain the prior approval from the Exchange and enter into an information dissemination agreement with the Exchange. Any entity or individual that uses the Exchange's information must obtain such information from the Exchange or the entity authorized or permitted by the Exchange.</w:t>
      </w:r>
    </w:p>
    <w:p w14:paraId="00A5C157" w14:textId="77777777" w:rsidR="007C520E" w:rsidRDefault="007C520E" w:rsidP="007C520E">
      <w:pPr>
        <w:pStyle w:val="Style8"/>
        <w:widowControl w:val="0"/>
        <w:numPr>
          <w:ilvl w:val="0"/>
          <w:numId w:val="1"/>
        </w:numPr>
        <w:spacing w:before="200" w:line="288" w:lineRule="auto"/>
        <w:ind w:left="1259" w:firstLineChars="0" w:hanging="1259"/>
        <w:rPr>
          <w:color w:val="auto"/>
          <w:sz w:val="24"/>
          <w:szCs w:val="24"/>
        </w:rPr>
      </w:pPr>
      <w:r>
        <w:rPr>
          <w:color w:val="auto"/>
          <w:sz w:val="24"/>
          <w:szCs w:val="24"/>
        </w:rPr>
        <w:t>Any entity or individual that disseminates the information of the Exchange shall ensure the authenticity, accuracy and completeness of the information, and shall clearly indicate that the source of such information is from the Exchange during the dissemination.</w:t>
      </w:r>
    </w:p>
    <w:p w14:paraId="71F6E3BF" w14:textId="77777777" w:rsidR="007C520E" w:rsidRDefault="007C520E" w:rsidP="007C520E">
      <w:pPr>
        <w:pStyle w:val="Style8"/>
        <w:widowControl w:val="0"/>
        <w:numPr>
          <w:ilvl w:val="0"/>
          <w:numId w:val="1"/>
        </w:numPr>
        <w:spacing w:before="200" w:line="288" w:lineRule="auto"/>
        <w:ind w:left="1259" w:firstLineChars="0" w:hanging="1259"/>
        <w:rPr>
          <w:color w:val="auto"/>
          <w:sz w:val="24"/>
          <w:szCs w:val="24"/>
        </w:rPr>
      </w:pPr>
      <w:r>
        <w:rPr>
          <w:color w:val="auto"/>
          <w:sz w:val="24"/>
          <w:szCs w:val="24"/>
        </w:rPr>
        <w:t>Any entity or individual that disseminates the information of the Exchange shall prevent any re-dissemination by the information receiver without the Exchange's authorization, and shall cooperate with the Exchange to regulate the information receiver.</w:t>
      </w:r>
    </w:p>
    <w:p w14:paraId="278BF89F" w14:textId="77777777" w:rsidR="007C520E" w:rsidRDefault="007C520E" w:rsidP="007C520E">
      <w:pPr>
        <w:pStyle w:val="Style8"/>
        <w:widowControl w:val="0"/>
        <w:numPr>
          <w:ilvl w:val="0"/>
          <w:numId w:val="1"/>
        </w:numPr>
        <w:spacing w:before="200" w:line="288" w:lineRule="auto"/>
        <w:ind w:left="1259" w:firstLineChars="0" w:hanging="1259"/>
        <w:rPr>
          <w:color w:val="auto"/>
          <w:sz w:val="24"/>
          <w:szCs w:val="24"/>
        </w:rPr>
      </w:pPr>
      <w:r>
        <w:rPr>
          <w:color w:val="auto"/>
          <w:sz w:val="24"/>
          <w:szCs w:val="24"/>
        </w:rPr>
        <w:t xml:space="preserve">The Exchange is entitled to investigate the entities and individuals which </w:t>
      </w:r>
      <w:r>
        <w:rPr>
          <w:color w:val="auto"/>
          <w:sz w:val="24"/>
          <w:szCs w:val="24"/>
        </w:rPr>
        <w:lastRenderedPageBreak/>
        <w:t>disseminate or use the Exchange's information. The scope of such investigation shall cover the purposes, methods, clients, fee charges and other information related to the dissemination and use of the information.</w:t>
      </w:r>
    </w:p>
    <w:p w14:paraId="3FCDAFDF" w14:textId="77777777" w:rsidR="007C520E" w:rsidRDefault="007C520E" w:rsidP="007C520E">
      <w:pPr>
        <w:pStyle w:val="Style8"/>
        <w:widowControl w:val="0"/>
        <w:numPr>
          <w:ilvl w:val="0"/>
          <w:numId w:val="1"/>
        </w:numPr>
        <w:spacing w:before="200" w:line="288" w:lineRule="auto"/>
        <w:ind w:left="1259" w:firstLineChars="0" w:hanging="1259"/>
        <w:rPr>
          <w:color w:val="auto"/>
          <w:sz w:val="24"/>
          <w:szCs w:val="24"/>
        </w:rPr>
      </w:pPr>
      <w:r>
        <w:rPr>
          <w:color w:val="auto"/>
          <w:sz w:val="24"/>
          <w:szCs w:val="24"/>
        </w:rPr>
        <w:t>Any information obtained by the Member from the Exchange can be used between the Member and its clients for trading only. The scope of such dissemination and use shall be solely limited within the Member's business premises.</w:t>
      </w:r>
    </w:p>
    <w:p w14:paraId="50E0DC1F" w14:textId="77777777" w:rsidR="007C520E" w:rsidRDefault="007C520E" w:rsidP="007C520E">
      <w:pPr>
        <w:pStyle w:val="Style8"/>
        <w:widowControl w:val="0"/>
        <w:numPr>
          <w:ilvl w:val="0"/>
          <w:numId w:val="1"/>
        </w:numPr>
        <w:spacing w:before="200" w:line="288" w:lineRule="auto"/>
        <w:ind w:left="1259" w:firstLineChars="0" w:hanging="1259"/>
        <w:rPr>
          <w:color w:val="auto"/>
          <w:sz w:val="24"/>
          <w:szCs w:val="24"/>
        </w:rPr>
      </w:pPr>
      <w:r>
        <w:rPr>
          <w:color w:val="auto"/>
          <w:sz w:val="24"/>
          <w:szCs w:val="24"/>
        </w:rPr>
        <w:t>The Member shall not re-disseminate or operate the Exchange's information on its own or through cooperation with any third party without authorization by the Exchange. The Member shall be liable for keeping confidential for the information data interface provided by the Exchange.</w:t>
      </w:r>
    </w:p>
    <w:p w14:paraId="5D69707E" w14:textId="77777777" w:rsidR="007C520E" w:rsidRDefault="007C520E" w:rsidP="007C520E">
      <w:pPr>
        <w:spacing w:before="200" w:line="288" w:lineRule="auto"/>
        <w:jc w:val="center"/>
        <w:rPr>
          <w:rFonts w:ascii="Times New Roman" w:hAnsi="Times New Roman"/>
          <w:b/>
          <w:sz w:val="24"/>
          <w:szCs w:val="24"/>
        </w:rPr>
      </w:pPr>
      <w:r>
        <w:rPr>
          <w:rFonts w:ascii="Times New Roman" w:hAnsi="Times New Roman"/>
          <w:b/>
          <w:sz w:val="24"/>
          <w:szCs w:val="24"/>
        </w:rPr>
        <w:t xml:space="preserve">Chapter </w:t>
      </w:r>
      <w:proofErr w:type="gramStart"/>
      <w:r>
        <w:rPr>
          <w:rFonts w:ascii="Times New Roman" w:hAnsi="Times New Roman"/>
          <w:b/>
          <w:sz w:val="24"/>
          <w:szCs w:val="24"/>
        </w:rPr>
        <w:t>IV  Supervision</w:t>
      </w:r>
      <w:proofErr w:type="gramEnd"/>
      <w:r>
        <w:rPr>
          <w:rFonts w:ascii="Times New Roman" w:hAnsi="Times New Roman"/>
          <w:b/>
          <w:sz w:val="24"/>
          <w:szCs w:val="24"/>
        </w:rPr>
        <w:t xml:space="preserve"> and Management</w:t>
      </w:r>
    </w:p>
    <w:p w14:paraId="310D8CCF" w14:textId="77777777" w:rsidR="007C520E" w:rsidRDefault="007C520E" w:rsidP="007C520E">
      <w:pPr>
        <w:pStyle w:val="Style8"/>
        <w:widowControl w:val="0"/>
        <w:numPr>
          <w:ilvl w:val="0"/>
          <w:numId w:val="1"/>
        </w:numPr>
        <w:spacing w:before="200" w:line="288" w:lineRule="auto"/>
        <w:ind w:left="1259" w:firstLineChars="0" w:hanging="1259"/>
        <w:rPr>
          <w:color w:val="auto"/>
          <w:sz w:val="24"/>
          <w:szCs w:val="24"/>
        </w:rPr>
      </w:pPr>
      <w:r>
        <w:rPr>
          <w:color w:val="auto"/>
          <w:sz w:val="24"/>
          <w:szCs w:val="24"/>
        </w:rPr>
        <w:t>In case any entity or individual publish, disseminates or uses the Exchange's information without the Exchange's authorization, the Exchange may terminate its right to disseminate or use the Exchange's information, and the Exchange will reserve the right to take suitable legal actions against its liability.</w:t>
      </w:r>
    </w:p>
    <w:p w14:paraId="6FDF9E6A" w14:textId="77777777" w:rsidR="007C520E" w:rsidRDefault="007C520E" w:rsidP="007C520E">
      <w:pPr>
        <w:pStyle w:val="Style8"/>
        <w:widowControl w:val="0"/>
        <w:numPr>
          <w:ilvl w:val="0"/>
          <w:numId w:val="1"/>
        </w:numPr>
        <w:spacing w:before="200" w:line="288" w:lineRule="auto"/>
        <w:ind w:left="1259" w:firstLineChars="0" w:hanging="1259"/>
        <w:rPr>
          <w:color w:val="auto"/>
          <w:sz w:val="24"/>
          <w:szCs w:val="24"/>
        </w:rPr>
      </w:pPr>
      <w:r>
        <w:rPr>
          <w:color w:val="auto"/>
          <w:sz w:val="24"/>
          <w:szCs w:val="24"/>
        </w:rPr>
        <w:t>Any violation of the Measures conducted by the entity or individual that has been licensed by the Exchange to disseminate or use the Exchange's information, the Exchange shall handle such violation in accordance with information dissemination and use agreement signed by such entity or individual with the Exchange.</w:t>
      </w:r>
    </w:p>
    <w:p w14:paraId="70CD31B4" w14:textId="77777777" w:rsidR="007C520E" w:rsidRDefault="007C520E" w:rsidP="007C520E">
      <w:pPr>
        <w:pStyle w:val="Style8"/>
        <w:widowControl w:val="0"/>
        <w:numPr>
          <w:ilvl w:val="0"/>
          <w:numId w:val="1"/>
        </w:numPr>
        <w:spacing w:before="200" w:line="288" w:lineRule="auto"/>
        <w:ind w:left="1259" w:firstLineChars="0" w:hanging="1259"/>
        <w:rPr>
          <w:color w:val="auto"/>
          <w:sz w:val="24"/>
          <w:szCs w:val="24"/>
        </w:rPr>
      </w:pPr>
      <w:r>
        <w:rPr>
          <w:color w:val="auto"/>
          <w:sz w:val="24"/>
          <w:szCs w:val="24"/>
        </w:rPr>
        <w:t xml:space="preserve">In case any Member of the Exchange or overseas broker violates the Measures, the Exchange will impose the appropriate punishments pursuant to the </w:t>
      </w:r>
      <w:r>
        <w:rPr>
          <w:i/>
          <w:color w:val="auto"/>
          <w:sz w:val="24"/>
          <w:szCs w:val="24"/>
        </w:rPr>
        <w:t>Measures against Rule Violations of Dalian Commodity Exchange</w:t>
      </w:r>
      <w:r>
        <w:rPr>
          <w:color w:val="auto"/>
          <w:sz w:val="24"/>
          <w:szCs w:val="24"/>
        </w:rPr>
        <w:t>.</w:t>
      </w:r>
    </w:p>
    <w:p w14:paraId="0AF8C77F" w14:textId="77777777" w:rsidR="007C520E" w:rsidRDefault="007C520E" w:rsidP="007C520E">
      <w:pPr>
        <w:spacing w:before="200" w:line="288" w:lineRule="auto"/>
        <w:jc w:val="center"/>
        <w:rPr>
          <w:rFonts w:ascii="Times New Roman" w:hAnsi="Times New Roman"/>
          <w:b/>
          <w:sz w:val="24"/>
          <w:szCs w:val="24"/>
        </w:rPr>
      </w:pPr>
      <w:r>
        <w:rPr>
          <w:rFonts w:ascii="Times New Roman" w:hAnsi="Times New Roman"/>
          <w:b/>
          <w:sz w:val="24"/>
          <w:szCs w:val="24"/>
        </w:rPr>
        <w:t xml:space="preserve">Chapter </w:t>
      </w:r>
      <w:proofErr w:type="gramStart"/>
      <w:r>
        <w:rPr>
          <w:rFonts w:ascii="Times New Roman" w:hAnsi="Times New Roman"/>
          <w:b/>
          <w:sz w:val="24"/>
          <w:szCs w:val="24"/>
        </w:rPr>
        <w:t>V  Supplementary</w:t>
      </w:r>
      <w:proofErr w:type="gramEnd"/>
      <w:r>
        <w:rPr>
          <w:rFonts w:ascii="Times New Roman" w:hAnsi="Times New Roman"/>
          <w:b/>
          <w:sz w:val="24"/>
          <w:szCs w:val="24"/>
        </w:rPr>
        <w:t xml:space="preserve"> Provisions</w:t>
      </w:r>
    </w:p>
    <w:p w14:paraId="050A056B" w14:textId="77777777" w:rsidR="007C520E" w:rsidRDefault="007C520E" w:rsidP="007C520E">
      <w:pPr>
        <w:pStyle w:val="Style8"/>
        <w:widowControl w:val="0"/>
        <w:numPr>
          <w:ilvl w:val="0"/>
          <w:numId w:val="1"/>
        </w:numPr>
        <w:spacing w:before="200" w:line="288" w:lineRule="auto"/>
        <w:ind w:left="1259" w:firstLineChars="0" w:hanging="1259"/>
        <w:rPr>
          <w:b/>
          <w:color w:val="auto"/>
          <w:sz w:val="24"/>
          <w:szCs w:val="24"/>
        </w:rPr>
      </w:pPr>
      <w:r>
        <w:rPr>
          <w:color w:val="auto"/>
          <w:sz w:val="24"/>
          <w:szCs w:val="24"/>
        </w:rPr>
        <w:t>In case the Exchange has any other special provisions on the information on options trading, such provisions shall apply.</w:t>
      </w:r>
    </w:p>
    <w:p w14:paraId="6C7E88C6" w14:textId="77777777" w:rsidR="007C520E" w:rsidRDefault="007C520E" w:rsidP="007C520E">
      <w:pPr>
        <w:pStyle w:val="Style8"/>
        <w:widowControl w:val="0"/>
        <w:numPr>
          <w:ilvl w:val="0"/>
          <w:numId w:val="1"/>
        </w:numPr>
        <w:spacing w:before="200" w:line="288" w:lineRule="auto"/>
        <w:ind w:left="1259" w:firstLineChars="0" w:hanging="1259"/>
        <w:rPr>
          <w:color w:val="auto"/>
          <w:sz w:val="24"/>
          <w:szCs w:val="24"/>
        </w:rPr>
      </w:pPr>
      <w:r>
        <w:rPr>
          <w:color w:val="auto"/>
          <w:sz w:val="24"/>
          <w:szCs w:val="24"/>
        </w:rPr>
        <w:t>The Exchange reverses the right to interpret the Measures.</w:t>
      </w:r>
    </w:p>
    <w:p w14:paraId="4D5208E4" w14:textId="77777777" w:rsidR="007C520E" w:rsidRDefault="007C520E" w:rsidP="007C520E">
      <w:pPr>
        <w:pStyle w:val="Style8"/>
        <w:widowControl w:val="0"/>
        <w:numPr>
          <w:ilvl w:val="0"/>
          <w:numId w:val="1"/>
        </w:numPr>
        <w:spacing w:before="200" w:line="288" w:lineRule="auto"/>
        <w:ind w:left="1259" w:firstLineChars="0" w:hanging="1259"/>
        <w:rPr>
          <w:color w:val="auto"/>
          <w:sz w:val="24"/>
          <w:szCs w:val="24"/>
        </w:rPr>
      </w:pPr>
      <w:r>
        <w:rPr>
          <w:color w:val="auto"/>
          <w:sz w:val="24"/>
          <w:szCs w:val="24"/>
        </w:rPr>
        <w:t>The Measures shall come into effect on the date of promulgation.</w:t>
      </w:r>
    </w:p>
    <w:p w14:paraId="5F2C017F" w14:textId="77777777" w:rsidR="007C520E" w:rsidRDefault="007C520E" w:rsidP="007C520E">
      <w:pPr>
        <w:spacing w:before="200" w:line="288" w:lineRule="auto"/>
        <w:rPr>
          <w:rFonts w:ascii="Times New Roman" w:hAnsi="Times New Roman"/>
          <w:sz w:val="24"/>
          <w:szCs w:val="24"/>
        </w:rPr>
      </w:pPr>
    </w:p>
    <w:p w14:paraId="364249D7" w14:textId="77777777" w:rsidR="007C520E" w:rsidRDefault="007C520E" w:rsidP="007C520E">
      <w:pPr>
        <w:pStyle w:val="a7"/>
        <w:shd w:val="clear" w:color="auto" w:fill="FFFFFF"/>
        <w:spacing w:before="200" w:beforeAutospacing="0" w:after="0" w:afterAutospacing="0" w:line="288" w:lineRule="auto"/>
        <w:jc w:val="both"/>
        <w:rPr>
          <w:rFonts w:ascii="Times New Roman" w:hAnsi="Times New Roman" w:cs="Times New Roman"/>
          <w:color w:val="333333"/>
        </w:rPr>
      </w:pPr>
      <w:r>
        <w:rPr>
          <w:rFonts w:ascii="Times New Roman" w:hAnsi="Times New Roman" w:cs="Times New Roman"/>
          <w:b/>
          <w:i/>
        </w:rPr>
        <w:t>Disclaimer</w:t>
      </w:r>
      <w:r>
        <w:rPr>
          <w:rFonts w:ascii="Times New Roman" w:hAnsi="Times New Roman" w:cs="Times New Roman"/>
          <w:i/>
        </w:rPr>
        <w:t>: This English translation may be used for reference only. In cases there is any discrepancy between the English version and the original Chinese version, the original Chinese version shall prevail. Dalian Commodity Exchange may change or update this English translation without any prior notice and shall accept no responsibility or liability for damage or loss caused by any error, inaccuracy, misunderstanding, or change with regard to this English translation</w:t>
      </w:r>
      <w:r>
        <w:rPr>
          <w:rFonts w:ascii="Times New Roman" w:hAnsi="Times New Roman" w:cs="Times New Roman"/>
          <w:color w:val="333333"/>
        </w:rPr>
        <w:t>.</w:t>
      </w:r>
    </w:p>
    <w:p w14:paraId="04F3F543" w14:textId="77777777" w:rsidR="008619F9" w:rsidRPr="007C520E" w:rsidRDefault="008619F9"/>
    <w:sectPr w:rsidR="008619F9" w:rsidRPr="007C52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A7AC4" w14:textId="77777777" w:rsidR="00C77218" w:rsidRDefault="00C77218" w:rsidP="007C520E">
      <w:r>
        <w:separator/>
      </w:r>
    </w:p>
  </w:endnote>
  <w:endnote w:type="continuationSeparator" w:id="0">
    <w:p w14:paraId="52C09F97" w14:textId="77777777" w:rsidR="00C77218" w:rsidRDefault="00C77218" w:rsidP="007C5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AF6FC3" w14:textId="77777777" w:rsidR="00C77218" w:rsidRDefault="00C77218" w:rsidP="007C520E">
      <w:r>
        <w:separator/>
      </w:r>
    </w:p>
  </w:footnote>
  <w:footnote w:type="continuationSeparator" w:id="0">
    <w:p w14:paraId="6B9B358D" w14:textId="77777777" w:rsidR="00C77218" w:rsidRDefault="00C77218" w:rsidP="007C52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D1EF4"/>
    <w:multiLevelType w:val="multilevel"/>
    <w:tmpl w:val="14CD1EF4"/>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C7C5474"/>
    <w:multiLevelType w:val="multilevel"/>
    <w:tmpl w:val="2C7C5474"/>
    <w:lvl w:ilvl="0">
      <w:start w:val="1"/>
      <w:numFmt w:val="decimal"/>
      <w:lvlText w:val="Article %1"/>
      <w:lvlJc w:val="left"/>
      <w:pPr>
        <w:ind w:left="420" w:hanging="420"/>
      </w:pPr>
      <w:rPr>
        <w:b/>
        <w:color w:val="auto"/>
      </w:rPr>
    </w:lvl>
    <w:lvl w:ilvl="1">
      <w:start w:val="1"/>
      <w:numFmt w:val="decimal"/>
      <w:lvlText w:val="(%2)"/>
      <w:lvlJc w:val="left"/>
      <w:pPr>
        <w:ind w:left="780" w:hanging="36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601755C"/>
    <w:multiLevelType w:val="multilevel"/>
    <w:tmpl w:val="6601755C"/>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FA0"/>
    <w:rsid w:val="00141FA0"/>
    <w:rsid w:val="007C520E"/>
    <w:rsid w:val="008619F9"/>
    <w:rsid w:val="00C772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BED816C-0E66-4C7B-AB65-801BE8A4B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C520E"/>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520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C520E"/>
    <w:rPr>
      <w:sz w:val="18"/>
      <w:szCs w:val="18"/>
    </w:rPr>
  </w:style>
  <w:style w:type="paragraph" w:styleId="a5">
    <w:name w:val="footer"/>
    <w:basedOn w:val="a"/>
    <w:link w:val="a6"/>
    <w:uiPriority w:val="99"/>
    <w:unhideWhenUsed/>
    <w:rsid w:val="007C520E"/>
    <w:pPr>
      <w:tabs>
        <w:tab w:val="center" w:pos="4153"/>
        <w:tab w:val="right" w:pos="8306"/>
      </w:tabs>
      <w:snapToGrid w:val="0"/>
      <w:jc w:val="left"/>
    </w:pPr>
    <w:rPr>
      <w:sz w:val="18"/>
      <w:szCs w:val="18"/>
    </w:rPr>
  </w:style>
  <w:style w:type="character" w:customStyle="1" w:styleId="a6">
    <w:name w:val="页脚 字符"/>
    <w:basedOn w:val="a0"/>
    <w:link w:val="a5"/>
    <w:uiPriority w:val="99"/>
    <w:rsid w:val="007C520E"/>
    <w:rPr>
      <w:sz w:val="18"/>
      <w:szCs w:val="18"/>
    </w:rPr>
  </w:style>
  <w:style w:type="paragraph" w:styleId="a7">
    <w:name w:val="Normal (Web)"/>
    <w:basedOn w:val="a"/>
    <w:uiPriority w:val="99"/>
    <w:semiHidden/>
    <w:unhideWhenUsed/>
    <w:qFormat/>
    <w:rsid w:val="007C520E"/>
    <w:pPr>
      <w:widowControl/>
      <w:spacing w:before="100" w:beforeAutospacing="1" w:after="100" w:afterAutospacing="1"/>
      <w:jc w:val="left"/>
    </w:pPr>
    <w:rPr>
      <w:rFonts w:ascii="宋体" w:eastAsia="宋体" w:hAnsi="宋体" w:cs="宋体"/>
      <w:kern w:val="0"/>
      <w:sz w:val="24"/>
      <w:szCs w:val="24"/>
    </w:rPr>
  </w:style>
  <w:style w:type="paragraph" w:customStyle="1" w:styleId="Style8">
    <w:name w:val="_Style 8"/>
    <w:basedOn w:val="a"/>
    <w:next w:val="a8"/>
    <w:uiPriority w:val="34"/>
    <w:qFormat/>
    <w:rsid w:val="007C520E"/>
    <w:pPr>
      <w:widowControl/>
      <w:spacing w:line="560" w:lineRule="exact"/>
      <w:ind w:firstLineChars="200" w:firstLine="420"/>
    </w:pPr>
    <w:rPr>
      <w:rFonts w:ascii="Times New Roman" w:eastAsia="宋体" w:hAnsi="Times New Roman"/>
      <w:color w:val="333333"/>
      <w:kern w:val="0"/>
      <w:sz w:val="30"/>
      <w:szCs w:val="18"/>
    </w:rPr>
  </w:style>
  <w:style w:type="paragraph" w:styleId="a8">
    <w:name w:val="List Paragraph"/>
    <w:basedOn w:val="a"/>
    <w:uiPriority w:val="34"/>
    <w:qFormat/>
    <w:rsid w:val="007C520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90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1541</Words>
  <Characters>8786</Characters>
  <Application>Microsoft Office Word</Application>
  <DocSecurity>0</DocSecurity>
  <Lines>73</Lines>
  <Paragraphs>20</Paragraphs>
  <ScaleCrop>false</ScaleCrop>
  <Company/>
  <LinksUpToDate>false</LinksUpToDate>
  <CharactersWithSpaces>10307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Jialin Wang</dc:creator>
  <cp:keywords/>
  <dc:description/>
  <cp:lastModifiedBy>Jialin Wang</cp:lastModifiedBy>
  <cp:revision>2</cp:revision>
  <dcterms:created xsi:type="dcterms:W3CDTF">2020-12-11T08:36:00Z</dcterms:created>
  <dcterms:modified xsi:type="dcterms:W3CDTF">2020-12-11T08:36:00Z</dcterms:modified>
</cp:coreProperties>
</file>