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B4" w:rsidRDefault="006F71B4" w:rsidP="006F71B4">
      <w:pPr>
        <w:widowControl/>
        <w:adjustRightInd w:val="0"/>
        <w:snapToGrid w:val="0"/>
        <w:spacing w:before="200" w:line="288" w:lineRule="auto"/>
        <w:jc w:val="left"/>
        <w:outlineLvl w:val="0"/>
        <w:rPr>
          <w:rFonts w:eastAsia="宋体"/>
          <w:kern w:val="0"/>
          <w:sz w:val="24"/>
        </w:rPr>
      </w:pPr>
      <w:r>
        <w:rPr>
          <w:rFonts w:eastAsia="宋体"/>
          <w:kern w:val="0"/>
          <w:sz w:val="24"/>
        </w:rPr>
        <w:t xml:space="preserve">Attachment </w:t>
      </w:r>
      <w:r>
        <w:rPr>
          <w:rFonts w:eastAsia="宋体" w:hint="eastAsia"/>
          <w:kern w:val="0"/>
          <w:sz w:val="24"/>
        </w:rPr>
        <w:t>3</w:t>
      </w:r>
      <w:r>
        <w:rPr>
          <w:rFonts w:eastAsia="宋体"/>
          <w:kern w:val="0"/>
          <w:sz w:val="24"/>
        </w:rPr>
        <w:t>:</w:t>
      </w:r>
    </w:p>
    <w:p w:rsidR="006F71B4" w:rsidRDefault="006F71B4" w:rsidP="006F71B4">
      <w:pPr>
        <w:widowControl/>
        <w:adjustRightInd w:val="0"/>
        <w:snapToGrid w:val="0"/>
        <w:spacing w:before="200" w:line="288" w:lineRule="auto"/>
        <w:jc w:val="center"/>
        <w:rPr>
          <w:rFonts w:eastAsia="宋体"/>
          <w:b/>
          <w:kern w:val="0"/>
          <w:sz w:val="24"/>
        </w:rPr>
      </w:pPr>
      <w:r>
        <w:rPr>
          <w:rFonts w:eastAsia="宋体"/>
          <w:b/>
          <w:kern w:val="0"/>
          <w:sz w:val="24"/>
        </w:rPr>
        <w:t>Measures for Hedging Management of Dalian Commodity Exchange</w:t>
      </w:r>
    </w:p>
    <w:p w:rsidR="006F71B4" w:rsidRDefault="006F71B4" w:rsidP="006F71B4">
      <w:pPr>
        <w:widowControl/>
        <w:adjustRightInd w:val="0"/>
        <w:snapToGrid w:val="0"/>
        <w:spacing w:before="200" w:line="288" w:lineRule="auto"/>
        <w:jc w:val="center"/>
        <w:rPr>
          <w:rFonts w:eastAsia="宋体"/>
          <w:b/>
          <w:kern w:val="0"/>
          <w:sz w:val="24"/>
        </w:rPr>
      </w:pPr>
      <w:r>
        <w:rPr>
          <w:rFonts w:eastAsia="宋体"/>
          <w:b/>
          <w:kern w:val="0"/>
          <w:sz w:val="24"/>
        </w:rPr>
        <w:t>(Amendment)</w:t>
      </w:r>
    </w:p>
    <w:p w:rsidR="006F71B4" w:rsidRDefault="006F71B4" w:rsidP="006F71B4">
      <w:pPr>
        <w:widowControl/>
        <w:adjustRightInd w:val="0"/>
        <w:snapToGrid w:val="0"/>
        <w:spacing w:before="200" w:line="288" w:lineRule="auto"/>
        <w:jc w:val="center"/>
        <w:rPr>
          <w:rFonts w:eastAsia="宋体"/>
          <w:b/>
          <w:kern w:val="0"/>
          <w:sz w:val="24"/>
        </w:rPr>
      </w:pPr>
    </w:p>
    <w:p w:rsidR="006F71B4" w:rsidRDefault="006F71B4" w:rsidP="006F71B4">
      <w:pPr>
        <w:numPr>
          <w:ilvl w:val="0"/>
          <w:numId w:val="1"/>
        </w:numPr>
        <w:adjustRightInd w:val="0"/>
        <w:snapToGrid w:val="0"/>
        <w:spacing w:before="200" w:line="288" w:lineRule="auto"/>
        <w:rPr>
          <w:rFonts w:eastAsia="宋体"/>
          <w:sz w:val="24"/>
        </w:rPr>
      </w:pPr>
      <w:r>
        <w:rPr>
          <w:rFonts w:eastAsia="宋体"/>
          <w:sz w:val="24"/>
        </w:rPr>
        <w:t>With respect to the application for hedging position limit increase of the general months, the Exchange shall determine the increase amount based on whether the applicant is qualified for such application, and whether the hedging products, trading positions, trading volume and hedging period are suitable for the product and operation scales, historical operating status, financial position, etc.</w:t>
      </w:r>
    </w:p>
    <w:p w:rsidR="006F71B4" w:rsidRDefault="006F71B4" w:rsidP="006F71B4">
      <w:pPr>
        <w:adjustRightInd w:val="0"/>
        <w:snapToGrid w:val="0"/>
        <w:spacing w:before="200" w:line="288" w:lineRule="auto"/>
        <w:ind w:left="1259"/>
        <w:rPr>
          <w:rFonts w:eastAsia="宋体"/>
          <w:sz w:val="24"/>
        </w:rPr>
      </w:pPr>
      <w:r>
        <w:rPr>
          <w:rFonts w:eastAsia="宋体"/>
          <w:sz w:val="24"/>
        </w:rPr>
        <w:t>With respect to the application for hedging position limit increase of the delivery months, the Exchange shall determine the increase amount based on the applicant's trading positions and volume, operation status of the underlying physicals, position status of such contracts, quantities of deliverables, and price deviation between the futures and the underlying physicals.</w:t>
      </w:r>
    </w:p>
    <w:p w:rsidR="006F71B4" w:rsidRDefault="006F71B4" w:rsidP="006F71B4">
      <w:pPr>
        <w:adjustRightInd w:val="0"/>
        <w:snapToGrid w:val="0"/>
        <w:spacing w:before="200" w:line="288" w:lineRule="auto"/>
        <w:ind w:left="1259"/>
        <w:rPr>
          <w:rFonts w:eastAsia="宋体"/>
          <w:dstrike/>
          <w:sz w:val="24"/>
        </w:rPr>
      </w:pPr>
      <w:r>
        <w:rPr>
          <w:rFonts w:eastAsia="宋体"/>
          <w:dstrike/>
          <w:sz w:val="24"/>
        </w:rPr>
        <w:t>With respect to the products other than No. 1 soybeans, coke, coking coal, fiberboard, blockboard, eggs, ethylene glycol, polished round-grained rice, ethenylbenzene, liquefied petroleum gas and live hog, where the hedging positions of the general months of Non-Futures Company Members, OSNBPs and clients enter the delivery months, the Exchange will convert them into the hedging position limit increase of the delivery months based on the hedging position amount of the general months or the speculative position limit of the delivery months of such product, whichever is the lesser.</w:t>
      </w:r>
    </w:p>
    <w:p w:rsidR="006F71B4" w:rsidRDefault="006F71B4" w:rsidP="006F71B4">
      <w:pPr>
        <w:adjustRightInd w:val="0"/>
        <w:snapToGrid w:val="0"/>
        <w:spacing w:before="200" w:line="288" w:lineRule="auto"/>
        <w:ind w:left="1259"/>
        <w:rPr>
          <w:rFonts w:eastAsia="宋体"/>
          <w:sz w:val="24"/>
        </w:rPr>
      </w:pPr>
      <w:r>
        <w:rPr>
          <w:rFonts w:eastAsia="宋体"/>
          <w:sz w:val="24"/>
        </w:rPr>
        <w:t>The hedging position increase amount shall not exceed the amount applied in the hedge certifying materials submitted by the applicant. The total of the hedging positions of futures or options of the general months of the applicant in all contract months during the whole year shall not exceed its production capacity or production plan of that year.</w:t>
      </w:r>
    </w:p>
    <w:p w:rsidR="006F71B4" w:rsidRDefault="006F71B4" w:rsidP="006F71B4">
      <w:pPr>
        <w:adjustRightInd w:val="0"/>
        <w:snapToGrid w:val="0"/>
        <w:spacing w:before="200" w:line="288" w:lineRule="auto"/>
        <w:ind w:left="1274" w:hangingChars="531" w:hanging="1274"/>
        <w:rPr>
          <w:rFonts w:eastAsia="宋体"/>
          <w:sz w:val="24"/>
          <w:shd w:val="pct10" w:color="auto" w:fill="FFFFFF"/>
        </w:rPr>
      </w:pPr>
      <w:r w:rsidRPr="00627BE1">
        <w:rPr>
          <w:rFonts w:eastAsia="宋体"/>
          <w:sz w:val="24"/>
          <w:shd w:val="pct10" w:color="auto" w:fill="FFFFFF"/>
        </w:rPr>
        <w:t>Article 1</w:t>
      </w:r>
      <w:r>
        <w:rPr>
          <w:rFonts w:eastAsia="宋体"/>
          <w:sz w:val="24"/>
          <w:shd w:val="pct10" w:color="auto" w:fill="FFFFFF"/>
        </w:rPr>
        <w:t xml:space="preserve">5  With respect to the products of the No. 2 soybean, soybean meal, soybean oil, RBD palm olein, corn, linear low density polyethylene, polyvinyl chloride, polypropylene and corn starch, where the hedging positions of the general months of Non-Futures Company Members, OSNBPs and clients enter the delivery months, the Exchange will convert them into the hedging position limit increase of the delivery months based on the </w:t>
      </w:r>
      <w:r>
        <w:rPr>
          <w:rFonts w:eastAsia="宋体"/>
          <w:sz w:val="24"/>
          <w:shd w:val="pct10" w:color="auto" w:fill="FFFFFF"/>
        </w:rPr>
        <w:lastRenderedPageBreak/>
        <w:t>hedging position amount of the general months or the speculative position limit of the delivery months of such product, whichever is the lesser. Where the Non-Futures Company Members, OSNBPs and clients make applications otherwise, the Exchange shall determine the hedging position limit increase of the delivery months pursuant to Article 14 of the Measures.</w:t>
      </w:r>
    </w:p>
    <w:p w:rsidR="006F71B4" w:rsidRDefault="006F71B4" w:rsidP="006F71B4">
      <w:pPr>
        <w:widowControl/>
        <w:adjustRightInd w:val="0"/>
        <w:snapToGrid w:val="0"/>
        <w:spacing w:before="200" w:line="288" w:lineRule="auto"/>
        <w:rPr>
          <w:rFonts w:eastAsia="宋体"/>
          <w:i/>
          <w:iCs/>
          <w:sz w:val="24"/>
        </w:rPr>
      </w:pPr>
    </w:p>
    <w:p w:rsidR="006F71B4" w:rsidRDefault="006F71B4" w:rsidP="006F71B4">
      <w:pPr>
        <w:widowControl/>
        <w:adjustRightInd w:val="0"/>
        <w:snapToGrid w:val="0"/>
        <w:spacing w:before="200" w:line="288" w:lineRule="auto"/>
        <w:rPr>
          <w:rFonts w:eastAsia="宋体"/>
          <w:i/>
          <w:color w:val="000000"/>
          <w:sz w:val="24"/>
        </w:rPr>
      </w:pPr>
      <w:r>
        <w:rPr>
          <w:rFonts w:eastAsia="宋体"/>
          <w:i/>
          <w:iCs/>
          <w:sz w:val="24"/>
        </w:rPr>
        <w:t>Note: Contents newly added are in shade; contents deleted are marked with double strikethrough;</w:t>
      </w:r>
      <w:r>
        <w:rPr>
          <w:rFonts w:eastAsia="宋体"/>
        </w:rPr>
        <w:t xml:space="preserve"> </w:t>
      </w:r>
      <w:r>
        <w:rPr>
          <w:rFonts w:eastAsia="宋体"/>
          <w:i/>
          <w:iCs/>
          <w:sz w:val="24"/>
        </w:rPr>
        <w:t>where any clause is added or deleted, the number of other clauses shall be changed in order accordingly</w:t>
      </w:r>
      <w:r>
        <w:rPr>
          <w:rFonts w:eastAsia="宋体"/>
          <w:i/>
          <w:color w:val="000000"/>
          <w:sz w:val="24"/>
        </w:rPr>
        <w:t>.</w:t>
      </w:r>
    </w:p>
    <w:p w:rsidR="006F71B4" w:rsidRDefault="006F71B4" w:rsidP="006F71B4">
      <w:pPr>
        <w:adjustRightInd w:val="0"/>
        <w:snapToGrid w:val="0"/>
        <w:spacing w:before="200" w:line="288" w:lineRule="auto"/>
        <w:rPr>
          <w:rFonts w:eastAsia="宋体"/>
          <w:kern w:val="0"/>
          <w:sz w:val="24"/>
        </w:rPr>
      </w:pPr>
      <w:r>
        <w:rPr>
          <w:rFonts w:eastAsia="宋体"/>
          <w:b/>
          <w:i/>
          <w:kern w:val="0"/>
          <w:sz w:val="24"/>
        </w:rPr>
        <w:t>Disclaimer</w:t>
      </w:r>
      <w:r>
        <w:rPr>
          <w:rFonts w:eastAsia="宋体"/>
          <w:i/>
          <w:kern w:val="0"/>
          <w:sz w:val="24"/>
        </w:rPr>
        <w:t>:</w:t>
      </w:r>
      <w:r>
        <w:rPr>
          <w:rFonts w:eastAsia="宋体"/>
          <w:kern w:val="0"/>
          <w:sz w:val="24"/>
        </w:rPr>
        <w:t xml:space="preserve"> </w:t>
      </w:r>
      <w:r>
        <w:rPr>
          <w:rFonts w:eastAsia="宋体"/>
          <w:i/>
          <w:kern w:val="0"/>
          <w:sz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6F71B4" w:rsidRPr="00627BE1" w:rsidRDefault="006F71B4" w:rsidP="006F71B4">
      <w:pPr>
        <w:widowControl/>
        <w:adjustRightInd w:val="0"/>
        <w:snapToGrid w:val="0"/>
        <w:spacing w:before="200" w:line="288" w:lineRule="auto"/>
        <w:rPr>
          <w:rFonts w:eastAsia="宋体"/>
          <w:i/>
          <w:color w:val="000000"/>
          <w:sz w:val="24"/>
        </w:rPr>
      </w:pPr>
    </w:p>
    <w:p w:rsidR="0096705E" w:rsidRPr="006F71B4" w:rsidRDefault="0096705E">
      <w:bookmarkStart w:id="0" w:name="_GoBack"/>
      <w:bookmarkEnd w:id="0"/>
    </w:p>
    <w:sectPr w:rsidR="0096705E" w:rsidRPr="006F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B4" w:rsidRDefault="006F71B4" w:rsidP="006F71B4">
      <w:r>
        <w:separator/>
      </w:r>
    </w:p>
  </w:endnote>
  <w:endnote w:type="continuationSeparator" w:id="0">
    <w:p w:rsidR="006F71B4" w:rsidRDefault="006F71B4" w:rsidP="006F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B4" w:rsidRDefault="006F71B4" w:rsidP="006F71B4">
      <w:r>
        <w:separator/>
      </w:r>
    </w:p>
  </w:footnote>
  <w:footnote w:type="continuationSeparator" w:id="0">
    <w:p w:rsidR="006F71B4" w:rsidRDefault="006F71B4" w:rsidP="006F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5EAC"/>
    <w:multiLevelType w:val="multilevel"/>
    <w:tmpl w:val="18F05EAC"/>
    <w:lvl w:ilvl="0">
      <w:start w:val="14"/>
      <w:numFmt w:val="decimal"/>
      <w:lvlText w:val="Article %1"/>
      <w:lvlJc w:val="left"/>
      <w:pPr>
        <w:ind w:left="1259" w:hanging="1259"/>
      </w:pPr>
      <w:rPr>
        <w:rFonts w:ascii="Times New Roman" w:hAnsi="Times New Roman" w:hint="default"/>
        <w:b/>
        <w:i w:val="0"/>
      </w:rPr>
    </w:lvl>
    <w:lvl w:ilvl="1">
      <w:start w:val="1"/>
      <w:numFmt w:val="decimal"/>
      <w:lvlText w:val="(%2)"/>
      <w:lvlJc w:val="left"/>
      <w:pPr>
        <w:ind w:left="820" w:hanging="40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95"/>
    <w:rsid w:val="006F71B4"/>
    <w:rsid w:val="0096705E"/>
    <w:rsid w:val="00C91C7C"/>
    <w:rsid w:val="00FD2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EAA62B-0D9C-4F03-9679-48833287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1B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1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71B4"/>
    <w:rPr>
      <w:sz w:val="18"/>
      <w:szCs w:val="18"/>
    </w:rPr>
  </w:style>
  <w:style w:type="paragraph" w:styleId="a5">
    <w:name w:val="footer"/>
    <w:basedOn w:val="a"/>
    <w:link w:val="a6"/>
    <w:uiPriority w:val="99"/>
    <w:unhideWhenUsed/>
    <w:rsid w:val="006F71B4"/>
    <w:pPr>
      <w:tabs>
        <w:tab w:val="center" w:pos="4153"/>
        <w:tab w:val="right" w:pos="8306"/>
      </w:tabs>
      <w:snapToGrid w:val="0"/>
      <w:jc w:val="left"/>
    </w:pPr>
    <w:rPr>
      <w:sz w:val="18"/>
      <w:szCs w:val="18"/>
    </w:rPr>
  </w:style>
  <w:style w:type="character" w:customStyle="1" w:styleId="a6">
    <w:name w:val="页脚 字符"/>
    <w:basedOn w:val="a0"/>
    <w:link w:val="a5"/>
    <w:uiPriority w:val="99"/>
    <w:rsid w:val="006F71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2021-04-13T01:15:00Z</dcterms:created>
  <dcterms:modified xsi:type="dcterms:W3CDTF">2021-04-13T01:16:00Z</dcterms:modified>
</cp:coreProperties>
</file>