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58" w:rsidRPr="00922D58" w:rsidRDefault="00922D58" w:rsidP="00922D58">
      <w:pPr>
        <w:widowControl/>
        <w:adjustRightInd w:val="0"/>
        <w:snapToGrid w:val="0"/>
        <w:spacing w:before="200" w:line="288" w:lineRule="auto"/>
        <w:contextualSpacing/>
        <w:jc w:val="left"/>
        <w:outlineLvl w:val="0"/>
        <w:rPr>
          <w:rFonts w:ascii="Times New Roman" w:eastAsia="黑体" w:hAnsi="Times New Roman" w:cs="Times New Roman"/>
          <w:kern w:val="0"/>
          <w:sz w:val="24"/>
          <w:szCs w:val="24"/>
        </w:rPr>
      </w:pPr>
      <w:r w:rsidRPr="00922D58">
        <w:rPr>
          <w:rFonts w:ascii="Times New Roman" w:eastAsia="黑体" w:hAnsi="Times New Roman" w:cs="Times New Roman"/>
          <w:kern w:val="0"/>
          <w:sz w:val="24"/>
          <w:szCs w:val="24"/>
        </w:rPr>
        <w:t xml:space="preserve">Attachment </w:t>
      </w:r>
    </w:p>
    <w:p w:rsidR="00922D58" w:rsidRPr="00922D58" w:rsidRDefault="00922D58" w:rsidP="00922D58">
      <w:pPr>
        <w:widowControl/>
        <w:adjustRightInd w:val="0"/>
        <w:snapToGrid w:val="0"/>
        <w:spacing w:before="200" w:line="288" w:lineRule="auto"/>
        <w:contextualSpacing/>
        <w:jc w:val="left"/>
        <w:outlineLvl w:val="0"/>
        <w:rPr>
          <w:rFonts w:ascii="Times New Roman" w:eastAsia="黑体" w:hAnsi="Times New Roman" w:cs="Times New Roman"/>
          <w:kern w:val="0"/>
          <w:sz w:val="24"/>
          <w:szCs w:val="24"/>
        </w:rPr>
      </w:pPr>
    </w:p>
    <w:p w:rsidR="00922D58" w:rsidRPr="00922D58" w:rsidRDefault="00922D58" w:rsidP="00922D58">
      <w:pPr>
        <w:snapToGrid w:val="0"/>
        <w:spacing w:before="200" w:line="288" w:lineRule="auto"/>
        <w:jc w:val="center"/>
        <w:rPr>
          <w:rFonts w:ascii="Times New Roman" w:eastAsia="宋体" w:hAnsi="Times New Roman" w:cs="Times New Roman"/>
          <w:b/>
          <w:bCs/>
          <w:kern w:val="0"/>
          <w:sz w:val="24"/>
          <w:szCs w:val="24"/>
        </w:rPr>
      </w:pPr>
      <w:r w:rsidRPr="00922D58">
        <w:rPr>
          <w:rFonts w:ascii="Times New Roman" w:eastAsia="宋体" w:hAnsi="Times New Roman" w:cs="Times New Roman"/>
          <w:b/>
          <w:bCs/>
          <w:kern w:val="0"/>
          <w:sz w:val="24"/>
          <w:szCs w:val="24"/>
        </w:rPr>
        <w:t xml:space="preserve">Measures for "Insurance + Futures" </w:t>
      </w:r>
      <w:r w:rsidRPr="00922D58">
        <w:rPr>
          <w:rFonts w:ascii="Times New Roman" w:eastAsia="宋体" w:hAnsi="Times New Roman" w:cs="Times New Roman" w:hint="eastAsia"/>
          <w:b/>
          <w:bCs/>
          <w:kern w:val="0"/>
          <w:sz w:val="24"/>
          <w:szCs w:val="24"/>
          <w:lang w:eastAsia="zh-Hans"/>
        </w:rPr>
        <w:t>B</w:t>
      </w:r>
      <w:bookmarkStart w:id="0" w:name="_GoBack"/>
      <w:bookmarkEnd w:id="0"/>
      <w:r w:rsidRPr="00922D58">
        <w:rPr>
          <w:rFonts w:ascii="Times New Roman" w:eastAsia="宋体" w:hAnsi="Times New Roman" w:cs="Times New Roman" w:hint="eastAsia"/>
          <w:b/>
          <w:bCs/>
          <w:kern w:val="0"/>
          <w:sz w:val="24"/>
          <w:szCs w:val="24"/>
          <w:lang w:eastAsia="zh-Hans"/>
        </w:rPr>
        <w:t>usiness</w:t>
      </w:r>
      <w:r w:rsidRPr="00922D58">
        <w:rPr>
          <w:rFonts w:ascii="Times New Roman" w:eastAsia="宋体" w:hAnsi="Times New Roman" w:cs="Times New Roman"/>
          <w:b/>
          <w:bCs/>
          <w:kern w:val="0"/>
          <w:sz w:val="24"/>
          <w:szCs w:val="24"/>
          <w:lang w:eastAsia="zh-Hans"/>
        </w:rPr>
        <w:t xml:space="preserve"> Management</w:t>
      </w:r>
      <w:r w:rsidRPr="00922D58">
        <w:rPr>
          <w:rFonts w:ascii="Times New Roman" w:eastAsia="宋体" w:hAnsi="Times New Roman" w:cs="Times New Roman"/>
          <w:b/>
          <w:bCs/>
          <w:kern w:val="0"/>
          <w:sz w:val="24"/>
          <w:szCs w:val="24"/>
        </w:rPr>
        <w:t xml:space="preserve"> of Dalian Commodity Exchange</w:t>
      </w:r>
    </w:p>
    <w:p w:rsidR="00922D58" w:rsidRPr="00922D58" w:rsidRDefault="00922D58" w:rsidP="00922D58">
      <w:pPr>
        <w:adjustRightInd w:val="0"/>
        <w:snapToGrid w:val="0"/>
        <w:spacing w:before="200" w:line="288" w:lineRule="auto"/>
        <w:jc w:val="center"/>
        <w:rPr>
          <w:rFonts w:ascii="Times New Roman" w:eastAsia="宋体" w:hAnsi="Times New Roman" w:cs="Times New Roman"/>
          <w:b/>
          <w:bCs/>
          <w:sz w:val="24"/>
          <w:szCs w:val="24"/>
        </w:rPr>
      </w:pPr>
      <w:r w:rsidRPr="00922D58">
        <w:rPr>
          <w:rFonts w:ascii="Times New Roman" w:eastAsia="宋体" w:hAnsi="Times New Roman" w:cs="Times New Roman"/>
          <w:b/>
          <w:bCs/>
          <w:sz w:val="24"/>
          <w:szCs w:val="24"/>
        </w:rPr>
        <w:t xml:space="preserve">Chapter </w:t>
      </w:r>
      <w:proofErr w:type="gramStart"/>
      <w:r w:rsidRPr="00922D58">
        <w:rPr>
          <w:rFonts w:ascii="Times New Roman" w:eastAsia="宋体" w:hAnsi="Times New Roman" w:cs="Times New Roman"/>
          <w:b/>
          <w:bCs/>
          <w:sz w:val="24"/>
          <w:szCs w:val="24"/>
        </w:rPr>
        <w:t>I  General</w:t>
      </w:r>
      <w:proofErr w:type="gramEnd"/>
      <w:r w:rsidRPr="00922D58">
        <w:rPr>
          <w:rFonts w:ascii="Times New Roman" w:eastAsia="宋体" w:hAnsi="Times New Roman" w:cs="Times New Roman"/>
          <w:b/>
          <w:bCs/>
          <w:sz w:val="24"/>
          <w:szCs w:val="24"/>
        </w:rPr>
        <w:t xml:space="preserve"> Provisions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In order to standardize the "</w:t>
      </w:r>
      <w:r w:rsidRPr="00922D58">
        <w:rPr>
          <w:rFonts w:ascii="Times New Roman" w:eastAsia="宋体" w:hAnsi="Times New Roman" w:cs="Times New Roman" w:hint="eastAsia"/>
          <w:sz w:val="24"/>
          <w:szCs w:val="24"/>
        </w:rPr>
        <w:t>Insurance</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hint="eastAsia"/>
          <w:sz w:val="24"/>
          <w:szCs w:val="24"/>
        </w:rPr>
        <w:t>Futures</w:t>
      </w:r>
      <w:r w:rsidRPr="00922D58">
        <w:rPr>
          <w:rFonts w:ascii="Times New Roman" w:eastAsia="宋体" w:hAnsi="Times New Roman" w:cs="Times New Roman"/>
          <w:sz w:val="24"/>
          <w:szCs w:val="24"/>
        </w:rPr>
        <w:t>"</w:t>
      </w:r>
      <w:r w:rsidRPr="00922D58">
        <w:rPr>
          <w:rFonts w:ascii="Times New Roman" w:eastAsia="宋体" w:hAnsi="Times New Roman" w:cs="Times New Roman" w:hint="eastAsia"/>
          <w:sz w:val="24"/>
          <w:szCs w:val="24"/>
        </w:rPr>
        <w:t xml:space="preserve"> </w:t>
      </w:r>
      <w:r w:rsidRPr="00922D58">
        <w:rPr>
          <w:rFonts w:ascii="Times New Roman" w:eastAsia="宋体" w:hAnsi="Times New Roman" w:cs="Times New Roman"/>
          <w:sz w:val="24"/>
          <w:szCs w:val="24"/>
        </w:rPr>
        <w:t>b</w:t>
      </w:r>
      <w:r w:rsidRPr="00922D58">
        <w:rPr>
          <w:rFonts w:ascii="Times New Roman" w:eastAsia="宋体" w:hAnsi="Times New Roman" w:cs="Times New Roman" w:hint="eastAsia"/>
          <w:sz w:val="24"/>
          <w:szCs w:val="24"/>
        </w:rPr>
        <w:t>usiness of Dalian Commodity Exchange</w:t>
      </w:r>
      <w:r w:rsidRPr="00922D58">
        <w:rPr>
          <w:rFonts w:ascii="Times New Roman" w:eastAsia="宋体" w:hAnsi="Times New Roman" w:cs="Times New Roman"/>
          <w:sz w:val="24"/>
          <w:szCs w:val="24"/>
        </w:rPr>
        <w:t xml:space="preserve"> (hereinafter referred to as the "</w:t>
      </w:r>
      <w:r w:rsidRPr="00922D58">
        <w:rPr>
          <w:rFonts w:ascii="Times New Roman Bold" w:eastAsia="宋体" w:hAnsi="Times New Roman Bold" w:cs="Times New Roman Bold"/>
          <w:b/>
          <w:bCs/>
          <w:sz w:val="24"/>
          <w:szCs w:val="24"/>
        </w:rPr>
        <w:t>Exchange</w:t>
      </w:r>
      <w:r w:rsidRPr="00922D58">
        <w:rPr>
          <w:rFonts w:ascii="Times New Roman" w:eastAsia="宋体" w:hAnsi="Times New Roman" w:cs="Times New Roman"/>
          <w:sz w:val="24"/>
          <w:szCs w:val="24"/>
        </w:rPr>
        <w:t xml:space="preserve">") and facilitate the futures market to better serve the real economy, the </w:t>
      </w:r>
      <w:r w:rsidRPr="00922D58">
        <w:rPr>
          <w:rFonts w:ascii="Times New Roman" w:eastAsia="宋体" w:hAnsi="Times New Roman" w:cs="Times New Roman" w:hint="eastAsia"/>
          <w:sz w:val="24"/>
          <w:szCs w:val="24"/>
        </w:rPr>
        <w:t xml:space="preserve">Measures for </w:t>
      </w:r>
      <w:r w:rsidRPr="00922D58">
        <w:rPr>
          <w:rFonts w:ascii="Times New Roman" w:eastAsia="宋体" w:hAnsi="Times New Roman" w:cs="Times New Roman"/>
          <w:sz w:val="24"/>
          <w:szCs w:val="24"/>
        </w:rPr>
        <w:t>"</w:t>
      </w:r>
      <w:r w:rsidRPr="00922D58">
        <w:rPr>
          <w:rFonts w:ascii="Times New Roman" w:eastAsia="宋体" w:hAnsi="Times New Roman" w:cs="Times New Roman" w:hint="eastAsia"/>
          <w:sz w:val="24"/>
          <w:szCs w:val="24"/>
        </w:rPr>
        <w:t>Insurance</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hint="eastAsia"/>
          <w:sz w:val="24"/>
          <w:szCs w:val="24"/>
        </w:rPr>
        <w:t>Futures</w:t>
      </w:r>
      <w:r w:rsidRPr="00922D58">
        <w:rPr>
          <w:rFonts w:ascii="Times New Roman" w:eastAsia="宋体" w:hAnsi="Times New Roman" w:cs="Times New Roman"/>
          <w:sz w:val="24"/>
          <w:szCs w:val="24"/>
        </w:rPr>
        <w:t>"</w:t>
      </w:r>
      <w:r w:rsidRPr="00922D58">
        <w:rPr>
          <w:rFonts w:ascii="Times New Roman" w:eastAsia="宋体" w:hAnsi="Times New Roman" w:cs="Times New Roman" w:hint="eastAsia"/>
          <w:sz w:val="24"/>
          <w:szCs w:val="24"/>
        </w:rPr>
        <w:t xml:space="preserve"> Business Management of Dalian Commodity Exchange</w:t>
      </w:r>
      <w:r w:rsidRPr="00922D58">
        <w:rPr>
          <w:rFonts w:ascii="Times New Roman" w:eastAsia="宋体" w:hAnsi="Times New Roman" w:cs="Times New Roman"/>
          <w:sz w:val="24"/>
          <w:szCs w:val="24"/>
        </w:rPr>
        <w:t xml:space="preserve"> (hereinafter referred to as the "</w:t>
      </w:r>
      <w:r w:rsidRPr="00922D58">
        <w:rPr>
          <w:rFonts w:ascii="Times New Roman" w:eastAsia="宋体" w:hAnsi="Times New Roman" w:cs="Times New Roman"/>
          <w:b/>
          <w:sz w:val="24"/>
          <w:szCs w:val="24"/>
        </w:rPr>
        <w:t>Measures</w:t>
      </w:r>
      <w:r w:rsidRPr="00922D58">
        <w:rPr>
          <w:rFonts w:ascii="Times New Roman" w:eastAsia="宋体" w:hAnsi="Times New Roman" w:cs="Times New Roman"/>
          <w:sz w:val="24"/>
          <w:szCs w:val="24"/>
        </w:rPr>
        <w:t xml:space="preserve">") are formulated in accordance with the </w:t>
      </w:r>
      <w:r w:rsidRPr="00922D58">
        <w:rPr>
          <w:rFonts w:ascii="Times New Roman Italic" w:eastAsia="宋体" w:hAnsi="Times New Roman Italic" w:cs="Times New Roman Italic"/>
          <w:i/>
          <w:iCs/>
          <w:sz w:val="24"/>
          <w:szCs w:val="24"/>
        </w:rPr>
        <w:t>Futures and Derivatives Law of the People's Republic of China</w:t>
      </w:r>
      <w:r w:rsidRPr="00922D58">
        <w:rPr>
          <w:rFonts w:ascii="Times New Roman" w:eastAsia="宋体" w:hAnsi="Times New Roman" w:cs="Times New Roman"/>
          <w:sz w:val="24"/>
          <w:szCs w:val="24"/>
        </w:rPr>
        <w:t xml:space="preserve">, the </w:t>
      </w:r>
      <w:r w:rsidRPr="00922D58">
        <w:rPr>
          <w:rFonts w:ascii="Times New Roman Italic" w:eastAsia="宋体" w:hAnsi="Times New Roman Italic" w:cs="Times New Roman Italic"/>
          <w:i/>
          <w:iCs/>
          <w:sz w:val="24"/>
          <w:szCs w:val="24"/>
        </w:rPr>
        <w:t>Bylaws of Dalian Commodity Exchange</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hint="eastAsia"/>
          <w:sz w:val="24"/>
          <w:szCs w:val="24"/>
        </w:rPr>
        <w:t>the</w:t>
      </w:r>
      <w:r w:rsidRPr="00922D58">
        <w:rPr>
          <w:rFonts w:ascii="Times New Roman" w:eastAsia="宋体" w:hAnsi="Times New Roman" w:cs="Times New Roman"/>
          <w:sz w:val="24"/>
          <w:szCs w:val="24"/>
        </w:rPr>
        <w:t xml:space="preserve"> </w:t>
      </w:r>
      <w:r w:rsidRPr="00922D58">
        <w:rPr>
          <w:rFonts w:ascii="Times New Roman Italic" w:eastAsia="宋体" w:hAnsi="Times New Roman Italic" w:cs="Times New Roman Italic"/>
          <w:i/>
          <w:iCs/>
          <w:sz w:val="24"/>
          <w:szCs w:val="24"/>
        </w:rPr>
        <w:t>Trading Rules of Dalian Commodity Exchange</w:t>
      </w:r>
      <w:r w:rsidRPr="00922D58">
        <w:rPr>
          <w:rFonts w:ascii="Times New Roman" w:eastAsia="宋体" w:hAnsi="Times New Roman" w:cs="Times New Roman"/>
          <w:sz w:val="24"/>
          <w:szCs w:val="24"/>
        </w:rPr>
        <w:t xml:space="preserve"> and </w:t>
      </w:r>
      <w:r w:rsidRPr="00922D58">
        <w:rPr>
          <w:rFonts w:ascii="Times New Roman Italic" w:eastAsia="宋体" w:hAnsi="Times New Roman Italic" w:cs="Times New Roman Italic"/>
          <w:i/>
          <w:iCs/>
          <w:sz w:val="24"/>
          <w:szCs w:val="24"/>
        </w:rPr>
        <w:t>Provisions on Classification-Based Supervision of Futures Companies</w:t>
      </w:r>
      <w:r w:rsidRPr="00922D58">
        <w:rPr>
          <w:rFonts w:ascii="Times New Roman" w:eastAsia="宋体" w:hAnsi="Times New Roman" w:cs="Times New Roman"/>
          <w:sz w:val="24"/>
          <w:szCs w:val="24"/>
          <w:lang w:eastAsia="zh-Hans"/>
        </w:rPr>
        <w:t xml:space="preserve"> and relevant provisions</w:t>
      </w:r>
      <w:r w:rsidRPr="00922D58">
        <w:rPr>
          <w:rFonts w:ascii="Times New Roman Italic" w:eastAsia="宋体" w:hAnsi="Times New Roman Italic" w:cs="Times New Roman Italic"/>
          <w:i/>
          <w:iCs/>
          <w:sz w:val="24"/>
          <w:szCs w:val="24"/>
        </w:rPr>
        <w:t>.</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hint="eastAsia"/>
          <w:sz w:val="24"/>
          <w:szCs w:val="24"/>
        </w:rPr>
        <w:t>For the purpose of th</w:t>
      </w:r>
      <w:r w:rsidRPr="00922D58">
        <w:rPr>
          <w:rFonts w:ascii="Times New Roman" w:eastAsia="宋体" w:hAnsi="Times New Roman" w:cs="Times New Roman"/>
          <w:sz w:val="24"/>
          <w:szCs w:val="24"/>
        </w:rPr>
        <w:t>e Measures</w:t>
      </w:r>
      <w:r w:rsidRPr="00922D58">
        <w:rPr>
          <w:rFonts w:ascii="Times New Roman" w:eastAsia="宋体" w:hAnsi="Times New Roman" w:cs="Times New Roman" w:hint="eastAsia"/>
          <w:sz w:val="24"/>
          <w:szCs w:val="24"/>
        </w:rPr>
        <w:t xml:space="preserve">, </w:t>
      </w:r>
      <w:r w:rsidRPr="00922D58">
        <w:rPr>
          <w:rFonts w:ascii="Times New Roman" w:eastAsia="宋体" w:hAnsi="Times New Roman" w:cs="Times New Roman"/>
          <w:sz w:val="24"/>
          <w:szCs w:val="24"/>
        </w:rPr>
        <w:t xml:space="preserve">the "Insurance + Futures" business refers to </w:t>
      </w:r>
      <w:r w:rsidRPr="00922D58">
        <w:rPr>
          <w:rFonts w:ascii="Times New Roman" w:eastAsia="宋体" w:hAnsi="Times New Roman" w:cs="Times New Roman" w:hint="eastAsia"/>
          <w:sz w:val="24"/>
          <w:szCs w:val="24"/>
          <w:lang w:eastAsia="zh-Hans"/>
        </w:rPr>
        <w:t>the</w:t>
      </w:r>
      <w:r w:rsidRPr="00922D58">
        <w:rPr>
          <w:rFonts w:ascii="Times New Roman" w:eastAsia="宋体" w:hAnsi="Times New Roman" w:cs="Times New Roman"/>
          <w:sz w:val="24"/>
          <w:szCs w:val="24"/>
          <w:lang w:eastAsia="zh-Hans"/>
        </w:rPr>
        <w:t xml:space="preserve"> ag</w:t>
      </w:r>
      <w:r w:rsidRPr="00922D58">
        <w:rPr>
          <w:rFonts w:ascii="Times New Roman" w:eastAsia="宋体" w:hAnsi="Times New Roman" w:cs="Times New Roman" w:hint="eastAsia"/>
          <w:sz w:val="24"/>
          <w:szCs w:val="24"/>
          <w:lang w:eastAsia="zh-Hans"/>
        </w:rPr>
        <w:t>ri</w:t>
      </w:r>
      <w:r w:rsidRPr="00922D58">
        <w:rPr>
          <w:rFonts w:ascii="Times New Roman" w:eastAsia="宋体" w:hAnsi="Times New Roman" w:cs="Times New Roman"/>
          <w:sz w:val="24"/>
          <w:szCs w:val="24"/>
          <w:lang w:eastAsia="zh-Hans"/>
        </w:rPr>
        <w:t xml:space="preserve">cultural risk management business provided for agriculture </w:t>
      </w:r>
      <w:r w:rsidRPr="00922D58">
        <w:rPr>
          <w:rFonts w:ascii="Times New Roman" w:eastAsia="宋体" w:hAnsi="Times New Roman" w:cs="Times New Roman" w:hint="eastAsia"/>
          <w:sz w:val="24"/>
          <w:szCs w:val="24"/>
          <w:lang w:eastAsia="zh-Hans"/>
        </w:rPr>
        <w:t>operation</w:t>
      </w:r>
      <w:r w:rsidRPr="00922D58">
        <w:rPr>
          <w:rFonts w:ascii="Times New Roman" w:eastAsia="宋体" w:hAnsi="Times New Roman" w:cs="Times New Roman"/>
          <w:sz w:val="24"/>
          <w:szCs w:val="24"/>
          <w:lang w:eastAsia="zh-Hans"/>
        </w:rPr>
        <w:t xml:space="preserve"> entities, with the consent of the Exchange, in which futures companies and their risk management companies jointly with insurance institutions, use futures prices as the basis for underwriting and claim settlement.</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 xml:space="preserve">The Exchange supports market institutions to take </w:t>
      </w:r>
      <w:r w:rsidRPr="00922D58">
        <w:rPr>
          <w:rFonts w:ascii="Times New Roman" w:eastAsia="宋体" w:hAnsi="Times New Roman" w:cs="Times New Roman" w:hint="eastAsia"/>
          <w:sz w:val="24"/>
          <w:szCs w:val="24"/>
          <w:lang w:eastAsia="zh-Hans"/>
        </w:rPr>
        <w:t>professional</w:t>
      </w:r>
      <w:r w:rsidRPr="00922D58">
        <w:rPr>
          <w:rFonts w:ascii="Times New Roman" w:eastAsia="宋体" w:hAnsi="Times New Roman" w:cs="Times New Roman"/>
          <w:sz w:val="24"/>
          <w:szCs w:val="24"/>
        </w:rPr>
        <w:t xml:space="preserve"> advantages, insist</w:t>
      </w:r>
      <w:r w:rsidRPr="00922D58">
        <w:rPr>
          <w:rFonts w:ascii="Times New Roman" w:eastAsia="宋体" w:hAnsi="Times New Roman" w:cs="Times New Roman" w:hint="eastAsia"/>
          <w:sz w:val="24"/>
          <w:szCs w:val="24"/>
        </w:rPr>
        <w:t>s</w:t>
      </w:r>
      <w:r w:rsidRPr="00922D58">
        <w:rPr>
          <w:rFonts w:ascii="Times New Roman" w:eastAsia="宋体" w:hAnsi="Times New Roman" w:cs="Times New Roman"/>
          <w:sz w:val="24"/>
          <w:szCs w:val="24"/>
        </w:rPr>
        <w:t xml:space="preserve"> on the principle of sustainable development</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ensure</w:t>
      </w:r>
      <w:r w:rsidRPr="00922D58">
        <w:rPr>
          <w:rFonts w:ascii="Times New Roman" w:eastAsia="宋体" w:hAnsi="Times New Roman" w:cs="Times New Roman" w:hint="eastAsia"/>
          <w:sz w:val="24"/>
          <w:szCs w:val="24"/>
        </w:rPr>
        <w:t>s</w:t>
      </w:r>
      <w:r w:rsidRPr="00922D58">
        <w:rPr>
          <w:rFonts w:ascii="Times New Roman" w:eastAsia="宋体" w:hAnsi="Times New Roman" w:cs="Times New Roman"/>
          <w:sz w:val="24"/>
          <w:szCs w:val="24"/>
        </w:rPr>
        <w:t xml:space="preserve"> the safety of national grain and important agricultural products and contribute</w:t>
      </w:r>
      <w:r w:rsidRPr="00922D58">
        <w:rPr>
          <w:rFonts w:ascii="Times New Roman" w:eastAsia="宋体" w:hAnsi="Times New Roman" w:cs="Times New Roman" w:hint="eastAsia"/>
          <w:sz w:val="24"/>
          <w:szCs w:val="24"/>
        </w:rPr>
        <w:t>s</w:t>
      </w:r>
      <w:r w:rsidRPr="00922D58">
        <w:rPr>
          <w:rFonts w:ascii="Times New Roman" w:eastAsia="宋体" w:hAnsi="Times New Roman" w:cs="Times New Roman"/>
          <w:sz w:val="24"/>
          <w:szCs w:val="24"/>
        </w:rPr>
        <w:t xml:space="preserve"> to rural revitalization and other strategic directions and critical areas for high-quality national agricultural development through the "Insurance + Futures" business services.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hint="eastAsia"/>
          <w:sz w:val="24"/>
          <w:szCs w:val="24"/>
        </w:rPr>
        <w:t>Th</w:t>
      </w:r>
      <w:r w:rsidRPr="00922D58">
        <w:rPr>
          <w:rFonts w:ascii="Times New Roman" w:eastAsia="宋体" w:hAnsi="Times New Roman" w:cs="Times New Roman"/>
          <w:sz w:val="24"/>
          <w:szCs w:val="24"/>
        </w:rPr>
        <w:t>e</w:t>
      </w:r>
      <w:r w:rsidRPr="00922D58">
        <w:rPr>
          <w:rFonts w:ascii="Times New Roman" w:eastAsia="宋体" w:hAnsi="Times New Roman" w:cs="Times New Roman" w:hint="eastAsia"/>
          <w:sz w:val="24"/>
          <w:szCs w:val="24"/>
        </w:rPr>
        <w:t xml:space="preserve"> Measures shall be applicable to futures companies, their risk management companies, insurance</w:t>
      </w:r>
      <w:r w:rsidRPr="00922D58">
        <w:rPr>
          <w:rFonts w:ascii="Times New Roman" w:eastAsia="宋体" w:hAnsi="Times New Roman" w:cs="Times New Roman"/>
          <w:sz w:val="24"/>
          <w:szCs w:val="24"/>
        </w:rPr>
        <w:t xml:space="preserve"> institutions</w:t>
      </w:r>
      <w:r w:rsidRPr="00922D58">
        <w:rPr>
          <w:rFonts w:ascii="Times New Roman" w:eastAsia="宋体" w:hAnsi="Times New Roman" w:cs="Times New Roman" w:hint="eastAsia"/>
          <w:sz w:val="24"/>
          <w:szCs w:val="24"/>
        </w:rPr>
        <w:t>, service recipients and other relevant entities involved in the "</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 business supported</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hint="eastAsia"/>
          <w:sz w:val="24"/>
          <w:szCs w:val="24"/>
        </w:rPr>
        <w:t>by the Exchange.</w:t>
      </w:r>
    </w:p>
    <w:p w:rsidR="00922D58" w:rsidRPr="00922D58" w:rsidRDefault="00922D58" w:rsidP="00922D58">
      <w:pPr>
        <w:adjustRightInd w:val="0"/>
        <w:snapToGrid w:val="0"/>
        <w:spacing w:before="200" w:line="288" w:lineRule="auto"/>
        <w:jc w:val="center"/>
        <w:rPr>
          <w:rFonts w:ascii="Times New Roman" w:eastAsia="宋体" w:hAnsi="Times New Roman" w:cs="Times New Roman"/>
          <w:b/>
          <w:bCs/>
          <w:sz w:val="24"/>
          <w:szCs w:val="24"/>
        </w:rPr>
      </w:pPr>
      <w:r w:rsidRPr="00922D58">
        <w:rPr>
          <w:rFonts w:ascii="Times New Roman" w:eastAsia="宋体" w:hAnsi="Times New Roman" w:cs="Times New Roman"/>
          <w:b/>
          <w:bCs/>
          <w:sz w:val="24"/>
          <w:szCs w:val="24"/>
        </w:rPr>
        <w:t>Chapter II Qualification Requirements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hint="eastAsia"/>
          <w:sz w:val="24"/>
          <w:szCs w:val="24"/>
        </w:rPr>
        <w:t xml:space="preserve">Futures companies and their risk management companies </w:t>
      </w:r>
      <w:r w:rsidRPr="00922D58">
        <w:rPr>
          <w:rFonts w:ascii="Times New Roman" w:eastAsia="宋体" w:hAnsi="Times New Roman" w:cs="Times New Roman"/>
          <w:sz w:val="24"/>
          <w:szCs w:val="24"/>
        </w:rPr>
        <w:t>conducting</w:t>
      </w:r>
      <w:r w:rsidRPr="00922D58">
        <w:rPr>
          <w:rFonts w:ascii="Times New Roman" w:eastAsia="宋体" w:hAnsi="Times New Roman" w:cs="Times New Roman" w:hint="eastAsia"/>
          <w:sz w:val="24"/>
          <w:szCs w:val="24"/>
        </w:rPr>
        <w:t xml:space="preserve"> "</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 business shall fulfill the following conditions:</w:t>
      </w:r>
    </w:p>
    <w:p w:rsidR="00922D58" w:rsidRPr="00922D58" w:rsidRDefault="00922D58" w:rsidP="00922D58">
      <w:pPr>
        <w:numPr>
          <w:ilvl w:val="0"/>
          <w:numId w:val="2"/>
        </w:numPr>
        <w:tabs>
          <w:tab w:val="left" w:pos="1843"/>
        </w:tabs>
        <w:adjustRightInd w:val="0"/>
        <w:snapToGrid w:val="0"/>
        <w:spacing w:before="200" w:line="288" w:lineRule="auto"/>
        <w:ind w:leftChars="600" w:left="1843" w:hanging="583"/>
        <w:rPr>
          <w:rFonts w:ascii="Times New Roman" w:eastAsia="宋体" w:hAnsi="Times New Roman" w:cs="Times New Roman"/>
          <w:sz w:val="24"/>
          <w:szCs w:val="24"/>
        </w:rPr>
      </w:pPr>
      <w:r w:rsidRPr="00922D58">
        <w:rPr>
          <w:rFonts w:ascii="Times New Roman" w:eastAsia="宋体" w:hAnsi="Times New Roman" w:cs="Times New Roman" w:hint="eastAsia"/>
          <w:sz w:val="24"/>
          <w:szCs w:val="24"/>
          <w:lang w:eastAsia="zh-Hans"/>
        </w:rPr>
        <w:t>complet</w:t>
      </w:r>
      <w:r w:rsidRPr="00922D58">
        <w:rPr>
          <w:rFonts w:ascii="Times New Roman" w:eastAsia="宋体" w:hAnsi="Times New Roman" w:cs="Times New Roman"/>
          <w:sz w:val="24"/>
          <w:szCs w:val="24"/>
          <w:lang w:eastAsia="zh-Hans"/>
        </w:rPr>
        <w:t>ing</w:t>
      </w:r>
      <w:r w:rsidRPr="00922D58">
        <w:rPr>
          <w:rFonts w:ascii="Times New Roman" w:eastAsia="宋体" w:hAnsi="Times New Roman" w:cs="Times New Roman"/>
          <w:sz w:val="24"/>
          <w:szCs w:val="24"/>
        </w:rPr>
        <w:t xml:space="preserve"> the OTC derivatives business filing of China Futures Association and not being suspended from add</w:t>
      </w:r>
      <w:r w:rsidRPr="00922D58">
        <w:rPr>
          <w:rFonts w:ascii="Times New Roman" w:eastAsia="宋体" w:hAnsi="Times New Roman" w:cs="Times New Roman" w:hint="eastAsia"/>
          <w:sz w:val="24"/>
          <w:szCs w:val="24"/>
          <w:lang w:eastAsia="zh-Hans"/>
        </w:rPr>
        <w:t>ing</w:t>
      </w:r>
      <w:r w:rsidRPr="00922D58">
        <w:rPr>
          <w:rFonts w:ascii="Times New Roman" w:eastAsia="宋体" w:hAnsi="Times New Roman" w:cs="Times New Roman"/>
          <w:sz w:val="24"/>
          <w:szCs w:val="24"/>
        </w:rPr>
        <w:t xml:space="preserve"> new business;</w:t>
      </w:r>
    </w:p>
    <w:p w:rsidR="00922D58" w:rsidRPr="00922D58" w:rsidRDefault="00922D58" w:rsidP="00922D58">
      <w:pPr>
        <w:numPr>
          <w:ilvl w:val="0"/>
          <w:numId w:val="2"/>
        </w:numPr>
        <w:tabs>
          <w:tab w:val="left" w:pos="1843"/>
        </w:tabs>
        <w:adjustRightInd w:val="0"/>
        <w:snapToGrid w:val="0"/>
        <w:spacing w:before="200" w:line="288" w:lineRule="auto"/>
        <w:ind w:leftChars="600" w:left="1843" w:hanging="583"/>
        <w:rPr>
          <w:rFonts w:ascii="Times New Roman" w:eastAsia="宋体" w:hAnsi="Times New Roman" w:cs="Times New Roman"/>
          <w:sz w:val="24"/>
          <w:szCs w:val="24"/>
        </w:rPr>
      </w:pPr>
      <w:r w:rsidRPr="00922D58">
        <w:rPr>
          <w:rFonts w:ascii="Times New Roman" w:eastAsia="宋体" w:hAnsi="Times New Roman" w:cs="Times New Roman"/>
          <w:sz w:val="24"/>
          <w:szCs w:val="24"/>
        </w:rPr>
        <w:lastRenderedPageBreak/>
        <w:t xml:space="preserve">being equipped with specialized personnel responsible for </w:t>
      </w:r>
      <w:r w:rsidRPr="00922D58">
        <w:rPr>
          <w:rFonts w:ascii="Times New Roman" w:eastAsia="宋体" w:hAnsi="Times New Roman" w:cs="Times New Roman" w:hint="eastAsia"/>
          <w:sz w:val="24"/>
          <w:szCs w:val="24"/>
          <w:lang w:eastAsia="zh-Hans"/>
        </w:rPr>
        <w:t>the</w:t>
      </w:r>
      <w:r w:rsidRPr="00922D58">
        <w:rPr>
          <w:rFonts w:ascii="Times New Roman" w:eastAsia="宋体" w:hAnsi="Times New Roman" w:cs="Times New Roman"/>
          <w:sz w:val="24"/>
          <w:szCs w:val="24"/>
          <w:lang w:eastAsia="zh-Hans"/>
        </w:rPr>
        <w:t xml:space="preserve"> </w:t>
      </w:r>
      <w:r w:rsidRPr="00922D58">
        <w:rPr>
          <w:rFonts w:ascii="Times New Roman" w:eastAsia="宋体" w:hAnsi="Times New Roman" w:cs="Times New Roman"/>
          <w:sz w:val="24"/>
          <w:szCs w:val="24"/>
        </w:rPr>
        <w:t>business operation;</w:t>
      </w:r>
    </w:p>
    <w:p w:rsidR="00922D58" w:rsidRPr="00922D58" w:rsidRDefault="00922D58" w:rsidP="00922D58">
      <w:pPr>
        <w:numPr>
          <w:ilvl w:val="0"/>
          <w:numId w:val="2"/>
        </w:numPr>
        <w:tabs>
          <w:tab w:val="left" w:pos="1843"/>
        </w:tabs>
        <w:adjustRightInd w:val="0"/>
        <w:snapToGrid w:val="0"/>
        <w:spacing w:before="200" w:line="288" w:lineRule="auto"/>
        <w:ind w:leftChars="600" w:left="1843" w:hanging="583"/>
        <w:rPr>
          <w:rFonts w:ascii="Times New Roman" w:eastAsia="宋体" w:hAnsi="Times New Roman" w:cs="Times New Roman"/>
          <w:sz w:val="24"/>
          <w:szCs w:val="24"/>
        </w:rPr>
      </w:pPr>
      <w:r w:rsidRPr="00922D58">
        <w:rPr>
          <w:rFonts w:ascii="Times New Roman" w:eastAsia="宋体" w:hAnsi="Times New Roman" w:cs="Times New Roman"/>
          <w:sz w:val="24"/>
          <w:szCs w:val="24"/>
        </w:rPr>
        <w:t>meeting the conditions of opening specialized business accounts; and</w:t>
      </w:r>
    </w:p>
    <w:p w:rsidR="00922D58" w:rsidRPr="00922D58" w:rsidRDefault="00922D58" w:rsidP="00922D58">
      <w:pPr>
        <w:numPr>
          <w:ilvl w:val="0"/>
          <w:numId w:val="2"/>
        </w:numPr>
        <w:tabs>
          <w:tab w:val="left" w:pos="1843"/>
        </w:tabs>
        <w:adjustRightInd w:val="0"/>
        <w:snapToGrid w:val="0"/>
        <w:spacing w:before="200" w:line="288" w:lineRule="auto"/>
        <w:ind w:leftChars="600" w:left="1843" w:hanging="583"/>
        <w:rPr>
          <w:rFonts w:ascii="Times New Roman" w:eastAsia="宋体" w:hAnsi="Times New Roman" w:cs="Times New Roman"/>
          <w:sz w:val="24"/>
          <w:szCs w:val="24"/>
        </w:rPr>
      </w:pPr>
      <w:proofErr w:type="gramStart"/>
      <w:r w:rsidRPr="00922D58">
        <w:rPr>
          <w:rFonts w:ascii="Times New Roman" w:eastAsia="宋体" w:hAnsi="Times New Roman" w:cs="Times New Roman"/>
          <w:sz w:val="24"/>
          <w:szCs w:val="24"/>
        </w:rPr>
        <w:t>other</w:t>
      </w:r>
      <w:proofErr w:type="gramEnd"/>
      <w:r w:rsidRPr="00922D58">
        <w:rPr>
          <w:rFonts w:ascii="Times New Roman" w:eastAsia="宋体" w:hAnsi="Times New Roman" w:cs="Times New Roman"/>
          <w:sz w:val="24"/>
          <w:szCs w:val="24"/>
        </w:rPr>
        <w:t xml:space="preserve"> conditions specified by the Exchange.</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hint="eastAsia"/>
          <w:sz w:val="24"/>
          <w:szCs w:val="24"/>
          <w:lang w:eastAsia="zh-Hans"/>
        </w:rPr>
        <w:t>Insurance</w:t>
      </w:r>
      <w:r w:rsidRPr="00922D58">
        <w:rPr>
          <w:rFonts w:ascii="Times New Roman" w:eastAsia="宋体" w:hAnsi="Times New Roman" w:cs="Times New Roman"/>
          <w:sz w:val="24"/>
          <w:szCs w:val="24"/>
          <w:lang w:eastAsia="zh-Hans"/>
        </w:rPr>
        <w:t xml:space="preserve"> institutions participating in </w:t>
      </w:r>
      <w:r w:rsidRPr="00922D58">
        <w:rPr>
          <w:rFonts w:ascii="Times New Roman" w:eastAsia="宋体" w:hAnsi="Times New Roman" w:cs="Times New Roman"/>
          <w:sz w:val="24"/>
          <w:szCs w:val="24"/>
        </w:rPr>
        <w:t xml:space="preserve">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business shall have the agricultural insurance business qualification and ensure the insuring, claim settlement and other processes involved in 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business are in line with the </w:t>
      </w:r>
      <w:r w:rsidRPr="00922D58">
        <w:rPr>
          <w:rFonts w:ascii="Times New Roman Italic" w:eastAsia="宋体" w:hAnsi="Times New Roman Italic" w:cs="Times New Roman Italic"/>
          <w:i/>
          <w:iCs/>
          <w:sz w:val="24"/>
          <w:szCs w:val="24"/>
        </w:rPr>
        <w:t>Insurance Law of the People's Republic of China</w:t>
      </w:r>
      <w:r w:rsidRPr="00922D58">
        <w:rPr>
          <w:rFonts w:ascii="Times New Roman" w:eastAsia="宋体" w:hAnsi="Times New Roman" w:cs="Times New Roman"/>
          <w:sz w:val="24"/>
          <w:szCs w:val="24"/>
        </w:rPr>
        <w:t xml:space="preserve">, the </w:t>
      </w:r>
      <w:r w:rsidRPr="00922D58">
        <w:rPr>
          <w:rFonts w:ascii="Times New Roman Italic" w:eastAsia="宋体" w:hAnsi="Times New Roman Italic" w:cs="Times New Roman Italic"/>
          <w:i/>
          <w:iCs/>
          <w:sz w:val="24"/>
          <w:szCs w:val="24"/>
        </w:rPr>
        <w:t>Regulations on Agricultural Insurance</w:t>
      </w:r>
      <w:r w:rsidRPr="00922D58">
        <w:rPr>
          <w:rFonts w:ascii="Times New Roman" w:eastAsia="宋体" w:hAnsi="Times New Roman" w:cs="Times New Roman"/>
          <w:sz w:val="24"/>
          <w:szCs w:val="24"/>
        </w:rPr>
        <w:t xml:space="preserve">, the </w:t>
      </w:r>
      <w:r w:rsidRPr="00922D58">
        <w:rPr>
          <w:rFonts w:ascii="Times New Roman Italic" w:eastAsia="宋体" w:hAnsi="Times New Roman Italic" w:cs="Times New Roman Italic"/>
          <w:i/>
          <w:iCs/>
          <w:sz w:val="24"/>
          <w:szCs w:val="24"/>
        </w:rPr>
        <w:t>Measures for the Administration of Underwriting and Claim Settlement</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i/>
          <w:iCs/>
          <w:sz w:val="24"/>
          <w:szCs w:val="24"/>
        </w:rPr>
        <w:t>o</w:t>
      </w:r>
      <w:r w:rsidRPr="00922D58">
        <w:rPr>
          <w:rFonts w:ascii="Times New Roman Italic" w:eastAsia="宋体" w:hAnsi="Times New Roman Italic" w:cs="Times New Roman Italic"/>
          <w:i/>
          <w:iCs/>
          <w:sz w:val="24"/>
          <w:szCs w:val="24"/>
        </w:rPr>
        <w:t xml:space="preserve">f Agricultural Insurance </w:t>
      </w:r>
      <w:r w:rsidRPr="00922D58">
        <w:rPr>
          <w:rFonts w:ascii="Times New Roman" w:eastAsia="宋体" w:hAnsi="Times New Roman" w:cs="Times New Roman"/>
          <w:sz w:val="24"/>
          <w:szCs w:val="24"/>
        </w:rPr>
        <w:t xml:space="preserve">and other relevant </w:t>
      </w:r>
      <w:r w:rsidRPr="00922D58">
        <w:rPr>
          <w:rFonts w:ascii="Times New Roman" w:eastAsia="宋体" w:hAnsi="Times New Roman" w:cs="Times New Roman" w:hint="eastAsia"/>
          <w:sz w:val="24"/>
          <w:szCs w:val="24"/>
          <w:lang w:eastAsia="zh-Hans"/>
        </w:rPr>
        <w:t>provisions</w:t>
      </w:r>
      <w:r w:rsidRPr="00922D58">
        <w:rPr>
          <w:rFonts w:ascii="Times New Roman" w:eastAsia="宋体" w:hAnsi="Times New Roman" w:cs="Times New Roman"/>
          <w:sz w:val="24"/>
          <w:szCs w:val="24"/>
        </w:rPr>
        <w:t>.</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hint="eastAsia"/>
          <w:sz w:val="24"/>
          <w:szCs w:val="24"/>
          <w:lang w:eastAsia="zh-Hans"/>
        </w:rPr>
        <w:t>Service</w:t>
      </w:r>
      <w:r w:rsidRPr="00922D58">
        <w:rPr>
          <w:rFonts w:ascii="Times New Roman" w:eastAsia="宋体" w:hAnsi="Times New Roman" w:cs="Times New Roman"/>
          <w:sz w:val="24"/>
          <w:szCs w:val="24"/>
          <w:lang w:eastAsia="zh-Hans"/>
        </w:rPr>
        <w:t xml:space="preserve"> recipients participating in </w:t>
      </w:r>
      <w:r w:rsidRPr="00922D58">
        <w:rPr>
          <w:rFonts w:ascii="Times New Roman" w:eastAsia="宋体" w:hAnsi="Times New Roman" w:cs="Times New Roman"/>
          <w:sz w:val="24"/>
          <w:szCs w:val="24"/>
        </w:rPr>
        <w:t xml:space="preserve">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business shall be directly engaged in agricultural production and operation activities related to the business products.</w:t>
      </w:r>
    </w:p>
    <w:p w:rsidR="00922D58" w:rsidRPr="00922D58" w:rsidRDefault="00922D58" w:rsidP="00922D58">
      <w:pPr>
        <w:adjustRightInd w:val="0"/>
        <w:snapToGrid w:val="0"/>
        <w:spacing w:before="200" w:line="288" w:lineRule="auto"/>
        <w:jc w:val="center"/>
        <w:rPr>
          <w:rFonts w:ascii="Times New Roman" w:eastAsia="宋体" w:hAnsi="Times New Roman" w:cs="Times New Roman"/>
          <w:b/>
          <w:bCs/>
          <w:sz w:val="24"/>
          <w:szCs w:val="24"/>
        </w:rPr>
      </w:pPr>
      <w:r w:rsidRPr="00922D58">
        <w:rPr>
          <w:rFonts w:ascii="Times New Roman" w:eastAsia="宋体" w:hAnsi="Times New Roman" w:cs="Times New Roman"/>
          <w:b/>
          <w:bCs/>
          <w:sz w:val="24"/>
          <w:szCs w:val="24"/>
        </w:rPr>
        <w:t>Chapter III Business Process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 xml:space="preserve">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business of the Exchange is generally carried out on a "project basis" and the business process of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includes but is not limited to the following: program formulation, notice issuance, project initiation application, notice of project initiation results, agreements</w:t>
      </w:r>
      <w:r w:rsidRPr="00922D58">
        <w:rPr>
          <w:rFonts w:ascii="Times New Roman" w:eastAsia="宋体" w:hAnsi="Times New Roman" w:cs="Times New Roman" w:hint="eastAsia"/>
          <w:sz w:val="24"/>
          <w:szCs w:val="24"/>
          <w:lang w:eastAsia="zh-Hans"/>
        </w:rPr>
        <w:t xml:space="preserve"> ex</w:t>
      </w:r>
      <w:r w:rsidRPr="00922D58">
        <w:rPr>
          <w:rFonts w:ascii="Times New Roman" w:eastAsia="宋体" w:hAnsi="Times New Roman" w:cs="Times New Roman"/>
          <w:sz w:val="24"/>
          <w:szCs w:val="24"/>
          <w:lang w:eastAsia="zh-Hans"/>
        </w:rPr>
        <w:t>e</w:t>
      </w:r>
      <w:r w:rsidRPr="00922D58">
        <w:rPr>
          <w:rFonts w:ascii="Times New Roman" w:eastAsia="宋体" w:hAnsi="Times New Roman" w:cs="Times New Roman" w:hint="eastAsia"/>
          <w:sz w:val="24"/>
          <w:szCs w:val="24"/>
          <w:lang w:eastAsia="zh-Hans"/>
        </w:rPr>
        <w:t>cut</w:t>
      </w:r>
      <w:r w:rsidRPr="00922D58">
        <w:rPr>
          <w:rFonts w:ascii="Times New Roman" w:eastAsia="宋体" w:hAnsi="Times New Roman" w:cs="Times New Roman"/>
          <w:sz w:val="24"/>
          <w:szCs w:val="24"/>
          <w:lang w:eastAsia="zh-Hans"/>
        </w:rPr>
        <w:t>ion</w:t>
      </w:r>
      <w:r w:rsidRPr="00922D58">
        <w:rPr>
          <w:rFonts w:ascii="Times New Roman" w:eastAsia="宋体" w:hAnsi="Times New Roman" w:cs="Times New Roman"/>
          <w:sz w:val="24"/>
          <w:szCs w:val="24"/>
        </w:rPr>
        <w:t>, project management and publicity, project conclusion acceptance, fee payments, project summary and other stages.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 xml:space="preserve">The Exchange formulates the annual work program of 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business every year (hereinafter referred to as the "</w:t>
      </w:r>
      <w:r w:rsidRPr="00922D58">
        <w:rPr>
          <w:rFonts w:ascii="Times New Roman Bold" w:eastAsia="宋体" w:hAnsi="Times New Roman Bold" w:cs="Times New Roman Bold"/>
          <w:b/>
          <w:bCs/>
          <w:sz w:val="24"/>
          <w:szCs w:val="24"/>
        </w:rPr>
        <w:t>annual work program</w:t>
      </w:r>
      <w:r w:rsidRPr="00922D58">
        <w:rPr>
          <w:rFonts w:ascii="Times New Roman" w:eastAsia="宋体" w:hAnsi="Times New Roman" w:cs="Times New Roman"/>
          <w:sz w:val="24"/>
          <w:szCs w:val="24"/>
        </w:rPr>
        <w:t>") in accordance with the national agricultural policies and publicizes it to the society in proper forms. The annual work program includes but is not limited to the following: project products, business requirements, application requirements, project initiation criteria, management requirements, acceptance requirements, support programs and other contents.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 xml:space="preserve">The Exchange organizes qualified futures companies to </w:t>
      </w:r>
      <w:r w:rsidRPr="00922D58">
        <w:rPr>
          <w:rFonts w:ascii="Times New Roman" w:eastAsia="宋体" w:hAnsi="Times New Roman" w:cs="Times New Roman" w:hint="eastAsia"/>
          <w:sz w:val="24"/>
          <w:szCs w:val="24"/>
          <w:lang w:eastAsia="zh-Hans"/>
        </w:rPr>
        <w:t>apply</w:t>
      </w:r>
      <w:r w:rsidRPr="00922D58">
        <w:rPr>
          <w:rFonts w:ascii="Times New Roman" w:eastAsia="宋体" w:hAnsi="Times New Roman" w:cs="Times New Roman"/>
          <w:sz w:val="24"/>
          <w:szCs w:val="24"/>
          <w:lang w:eastAsia="zh-Hans"/>
        </w:rPr>
        <w:t xml:space="preserve"> for</w:t>
      </w:r>
      <w:r w:rsidRPr="00922D58">
        <w:rPr>
          <w:rFonts w:ascii="Times New Roman" w:eastAsia="宋体" w:hAnsi="Times New Roman" w:cs="Times New Roman"/>
          <w:sz w:val="24"/>
          <w:szCs w:val="24"/>
        </w:rPr>
        <w:t xml:space="preserv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project initiation according to the annual work </w:t>
      </w:r>
      <w:r w:rsidRPr="00922D58">
        <w:rPr>
          <w:rFonts w:ascii="Times New Roman" w:eastAsia="宋体" w:hAnsi="Times New Roman" w:cs="Times New Roman" w:hint="eastAsia"/>
          <w:sz w:val="24"/>
          <w:szCs w:val="24"/>
          <w:lang w:eastAsia="zh-Hans"/>
        </w:rPr>
        <w:t>program</w:t>
      </w:r>
      <w:r w:rsidRPr="00922D58">
        <w:rPr>
          <w:rFonts w:ascii="Times New Roman" w:eastAsia="宋体" w:hAnsi="Times New Roman" w:cs="Times New Roman"/>
          <w:sz w:val="24"/>
          <w:szCs w:val="24"/>
        </w:rPr>
        <w:t>. The Exchange notifies the futures companies of the application results of the project initiation in the form of official letters or other proper forms.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 xml:space="preserve">For the project that has passed the </w:t>
      </w:r>
      <w:r w:rsidRPr="00922D58">
        <w:rPr>
          <w:rFonts w:ascii="Times New Roman" w:eastAsia="宋体" w:hAnsi="Times New Roman" w:cs="Times New Roman" w:hint="eastAsia"/>
          <w:sz w:val="24"/>
          <w:szCs w:val="24"/>
        </w:rPr>
        <w:t>ini</w:t>
      </w:r>
      <w:r w:rsidRPr="00922D58">
        <w:rPr>
          <w:rFonts w:ascii="Times New Roman" w:eastAsia="宋体" w:hAnsi="Times New Roman" w:cs="Times New Roman"/>
          <w:sz w:val="24"/>
          <w:szCs w:val="24"/>
        </w:rPr>
        <w:t xml:space="preserve">tiation examination, the Exchange </w:t>
      </w:r>
      <w:r w:rsidRPr="00922D58">
        <w:rPr>
          <w:rFonts w:ascii="Times New Roman" w:eastAsia="宋体" w:hAnsi="Times New Roman" w:cs="Times New Roman"/>
          <w:sz w:val="24"/>
          <w:szCs w:val="24"/>
        </w:rPr>
        <w:lastRenderedPageBreak/>
        <w:t xml:space="preserve">will execute a written agreement with the futures company that undertakes the project, specifying each party's basic information, service contents, rights and obligations, support methods and contents, and liabilities for breach, etc. The futures company undertaking the project shall organize and carry out 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business in an orderly manner in accordance with the Exchange's business rules, notification requirements and the written agreement.</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 xml:space="preserve">The Exchange shall conduct process management on the implementation of the projects, and shall have the right to require the futures companies, their risk management companies and insurance </w:t>
      </w:r>
      <w:r w:rsidRPr="00922D58">
        <w:rPr>
          <w:rFonts w:ascii="Times New Roman" w:eastAsia="宋体" w:hAnsi="Times New Roman" w:cs="Times New Roman" w:hint="eastAsia"/>
          <w:sz w:val="24"/>
          <w:szCs w:val="24"/>
          <w:lang w:eastAsia="zh-Hans"/>
        </w:rPr>
        <w:t>institution</w:t>
      </w:r>
      <w:r w:rsidRPr="00922D58">
        <w:rPr>
          <w:rFonts w:ascii="Times New Roman" w:eastAsia="宋体" w:hAnsi="Times New Roman" w:cs="Times New Roman"/>
          <w:sz w:val="24"/>
          <w:szCs w:val="24"/>
          <w:lang w:eastAsia="zh-Hans"/>
        </w:rPr>
        <w:t>s</w:t>
      </w:r>
      <w:r w:rsidRPr="00922D58">
        <w:rPr>
          <w:rFonts w:ascii="Times New Roman" w:eastAsia="宋体" w:hAnsi="Times New Roman" w:cs="Times New Roman"/>
          <w:sz w:val="24"/>
          <w:szCs w:val="24"/>
        </w:rPr>
        <w:t xml:space="preserve"> undertaking the projects to submit the insurance policies, details of the insured, confirmations of the OTC options trading, claims lists and other materials, and will inquire about the business operation or carry out on-site inspections at the same time from time to time.</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rPr>
      </w:pPr>
      <w:r w:rsidRPr="00922D58">
        <w:rPr>
          <w:rFonts w:ascii="Times New Roman" w:eastAsia="宋体" w:hAnsi="Times New Roman" w:cs="Times New Roman"/>
          <w:sz w:val="24"/>
          <w:szCs w:val="24"/>
        </w:rPr>
        <w:t xml:space="preserve">The Exchange shall </w:t>
      </w:r>
      <w:r w:rsidRPr="00922D58">
        <w:rPr>
          <w:rFonts w:ascii="Times New Roman" w:eastAsia="宋体" w:hAnsi="Times New Roman" w:cs="Times New Roman" w:hint="eastAsia"/>
          <w:sz w:val="24"/>
          <w:szCs w:val="24"/>
        </w:rPr>
        <w:t>conduct</w:t>
      </w:r>
      <w:r w:rsidRPr="00922D58">
        <w:rPr>
          <w:rFonts w:ascii="Times New Roman" w:eastAsia="宋体" w:hAnsi="Times New Roman" w:cs="Times New Roman"/>
          <w:sz w:val="24"/>
          <w:szCs w:val="24"/>
        </w:rPr>
        <w:t xml:space="preserve"> the conclusion acceptance of 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 xml:space="preserve"> projects that have expired. According to the requirements of the annual work program, futures companies, their risk management companies and insurance institutions that undertake the projects shall submit the examination materials for the conclusion of the projects on time.</w:t>
      </w:r>
    </w:p>
    <w:p w:rsidR="00922D58" w:rsidRPr="00922D58" w:rsidRDefault="00922D58" w:rsidP="00922D58">
      <w:pPr>
        <w:adjustRightInd w:val="0"/>
        <w:snapToGrid w:val="0"/>
        <w:spacing w:before="200" w:line="288" w:lineRule="auto"/>
        <w:jc w:val="center"/>
        <w:rPr>
          <w:rFonts w:ascii="Times New Roman" w:eastAsia="宋体" w:hAnsi="Times New Roman" w:cs="Times New Roman"/>
          <w:b/>
          <w:bCs/>
          <w:sz w:val="24"/>
          <w:szCs w:val="24"/>
        </w:rPr>
      </w:pPr>
      <w:r w:rsidRPr="00922D58">
        <w:rPr>
          <w:rFonts w:ascii="Times New Roman" w:eastAsia="宋体" w:hAnsi="Times New Roman" w:cs="Times New Roman"/>
          <w:b/>
          <w:bCs/>
          <w:sz w:val="24"/>
          <w:szCs w:val="24"/>
        </w:rPr>
        <w:t>Chapter IV Support Program</w:t>
      </w:r>
    </w:p>
    <w:p w:rsidR="00922D58" w:rsidRPr="00922D58" w:rsidRDefault="00922D58" w:rsidP="00922D58">
      <w:pPr>
        <w:numPr>
          <w:ilvl w:val="0"/>
          <w:numId w:val="1"/>
        </w:numPr>
        <w:adjustRightInd w:val="0"/>
        <w:snapToGrid w:val="0"/>
        <w:spacing w:before="200" w:line="288" w:lineRule="auto"/>
        <w:ind w:left="1259" w:hanging="1259"/>
        <w:rPr>
          <w:rFonts w:ascii="Times New Roman Regular" w:eastAsia="宋体" w:hAnsi="Times New Roman Regular" w:cs="Times New Roman Regular" w:hint="eastAsia"/>
          <w:sz w:val="24"/>
          <w:szCs w:val="24"/>
        </w:rPr>
      </w:pPr>
      <w:r w:rsidRPr="00922D58">
        <w:rPr>
          <w:rFonts w:ascii="Times New Roman Regular" w:eastAsia="宋体" w:hAnsi="Times New Roman Regular" w:cs="Times New Roman Regular"/>
          <w:sz w:val="24"/>
          <w:szCs w:val="24"/>
          <w:lang w:eastAsia="zh-Hans"/>
        </w:rPr>
        <w:t xml:space="preserve">The Exchange can support 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Regular" w:eastAsia="宋体" w:hAnsi="Times New Roman Regular" w:cs="Times New Roman Regular"/>
          <w:sz w:val="24"/>
          <w:szCs w:val="24"/>
          <w:lang w:eastAsia="zh-Hans"/>
        </w:rPr>
        <w:t xml:space="preserve"> projects through fee payments or other forms.</w:t>
      </w:r>
    </w:p>
    <w:p w:rsidR="00922D58" w:rsidRPr="00922D58" w:rsidRDefault="00922D58" w:rsidP="00922D58">
      <w:pPr>
        <w:numPr>
          <w:ilvl w:val="0"/>
          <w:numId w:val="1"/>
        </w:numPr>
        <w:adjustRightInd w:val="0"/>
        <w:snapToGrid w:val="0"/>
        <w:spacing w:before="200" w:line="288" w:lineRule="auto"/>
        <w:ind w:left="1259" w:hanging="1259"/>
        <w:rPr>
          <w:rFonts w:ascii="Times New Roman Regular" w:eastAsia="宋体" w:hAnsi="Times New Roman Regular" w:cs="Times New Roman Regular" w:hint="eastAsia"/>
          <w:sz w:val="24"/>
          <w:szCs w:val="24"/>
        </w:rPr>
      </w:pPr>
      <w:r w:rsidRPr="00922D58">
        <w:rPr>
          <w:rFonts w:ascii="Times New Roman Regular" w:eastAsia="宋体" w:hAnsi="Times New Roman Regular" w:cs="Times New Roman Regular"/>
          <w:sz w:val="24"/>
          <w:szCs w:val="24"/>
        </w:rPr>
        <w:t>The Exchange shall specify the specific support method</w:t>
      </w:r>
      <w:r w:rsidRPr="00922D58">
        <w:rPr>
          <w:rFonts w:ascii="Times New Roman Regular" w:eastAsia="宋体" w:hAnsi="Times New Roman Regular" w:cs="Times New Roman Regular"/>
          <w:sz w:val="24"/>
          <w:szCs w:val="24"/>
          <w:lang w:eastAsia="zh-Hans"/>
        </w:rPr>
        <w:t xml:space="preserve"> and payment standard in the annual work program. The fee payment standard is in principle determined according to the costs and expenses borne by the service recipients, including but not limited to the insurance premium costs (subject to the Exchange support ratio specified in the insurance policies or the actual amount) and OTC option premiums (subject to the OTC options trading confirmations submitted by the application entities), etc. The above costs in the implementation in principle shall not exceed the upper limit of the ratio or the amount </w:t>
      </w:r>
      <w:r w:rsidRPr="00922D58">
        <w:rPr>
          <w:rFonts w:ascii="Times New Roman Regular" w:eastAsia="宋体" w:hAnsi="Times New Roman Regular" w:cs="Times New Roman Regular" w:hint="eastAsia"/>
          <w:sz w:val="24"/>
          <w:szCs w:val="24"/>
          <w:lang w:eastAsia="zh-Hans"/>
        </w:rPr>
        <w:t>specified</w:t>
      </w:r>
      <w:r w:rsidRPr="00922D58">
        <w:rPr>
          <w:rFonts w:ascii="Times New Roman Regular" w:eastAsia="宋体" w:hAnsi="Times New Roman Regular" w:cs="Times New Roman Regular"/>
          <w:sz w:val="24"/>
          <w:szCs w:val="24"/>
          <w:lang w:eastAsia="zh-Hans"/>
        </w:rPr>
        <w:t xml:space="preserve"> in the work program and shall be paid according to the principle of whichever is lower.</w:t>
      </w:r>
    </w:p>
    <w:p w:rsidR="00922D58" w:rsidRPr="00922D58" w:rsidRDefault="00922D58" w:rsidP="00922D58">
      <w:pPr>
        <w:numPr>
          <w:ilvl w:val="0"/>
          <w:numId w:val="1"/>
        </w:numPr>
        <w:adjustRightInd w:val="0"/>
        <w:snapToGrid w:val="0"/>
        <w:spacing w:before="200" w:line="288" w:lineRule="auto"/>
        <w:ind w:left="1259" w:hanging="1259"/>
        <w:rPr>
          <w:rFonts w:ascii="Times New Roman Regular" w:eastAsia="宋体" w:hAnsi="Times New Roman Regular" w:cs="Times New Roman Regular" w:hint="eastAsia"/>
          <w:sz w:val="24"/>
          <w:szCs w:val="24"/>
        </w:rPr>
      </w:pPr>
      <w:r w:rsidRPr="00922D58">
        <w:rPr>
          <w:rFonts w:ascii="Times New Roman Regular" w:eastAsia="宋体" w:hAnsi="Times New Roman Regular" w:cs="Times New Roman Regular"/>
          <w:sz w:val="24"/>
          <w:szCs w:val="24"/>
        </w:rPr>
        <w:t xml:space="preserve">The Exchange implements relevant support policies for 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Regular" w:eastAsia="宋体" w:hAnsi="Times New Roman Regular" w:cs="Times New Roman Regular"/>
          <w:sz w:val="24"/>
          <w:szCs w:val="24"/>
        </w:rPr>
        <w:t xml:space="preserve"> projects that meet the conclusion standards and pass the conclusion acceptance.</w:t>
      </w:r>
    </w:p>
    <w:p w:rsidR="00922D58" w:rsidRPr="00922D58" w:rsidRDefault="00922D58" w:rsidP="00922D58">
      <w:pPr>
        <w:adjustRightInd w:val="0"/>
        <w:snapToGrid w:val="0"/>
        <w:spacing w:before="200" w:line="288" w:lineRule="auto"/>
        <w:jc w:val="center"/>
        <w:rPr>
          <w:rFonts w:ascii="Times New Roman" w:eastAsia="宋体" w:hAnsi="Times New Roman" w:cs="Times New Roman"/>
          <w:b/>
          <w:bCs/>
          <w:sz w:val="24"/>
          <w:szCs w:val="24"/>
          <w:lang w:bidi="ar"/>
        </w:rPr>
      </w:pPr>
      <w:r w:rsidRPr="00922D58">
        <w:rPr>
          <w:rFonts w:ascii="Times New Roman" w:eastAsia="宋体" w:hAnsi="Times New Roman" w:cs="Times New Roman"/>
          <w:b/>
          <w:bCs/>
          <w:sz w:val="24"/>
          <w:szCs w:val="24"/>
          <w:lang w:bidi="ar"/>
        </w:rPr>
        <w:t>Chapter V Supervision and Management</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lang w:bidi="ar"/>
        </w:rPr>
      </w:pPr>
      <w:r w:rsidRPr="00922D58">
        <w:rPr>
          <w:rFonts w:ascii="Times New Roman" w:eastAsia="宋体" w:hAnsi="Times New Roman" w:cs="Times New Roman"/>
          <w:sz w:val="24"/>
          <w:szCs w:val="24"/>
          <w:lang w:bidi="ar"/>
        </w:rPr>
        <w:t xml:space="preserve">If the project is found to have any irregularities and default actions or </w:t>
      </w:r>
      <w:r w:rsidRPr="00922D58">
        <w:rPr>
          <w:rFonts w:ascii="Times New Roman" w:eastAsia="宋体" w:hAnsi="Times New Roman" w:cs="Times New Roman"/>
          <w:sz w:val="24"/>
          <w:szCs w:val="24"/>
          <w:lang w:bidi="ar"/>
        </w:rPr>
        <w:lastRenderedPageBreak/>
        <w:t>latent risks occur, the Exchange may take measures such as warning, requiring rectification within a certain period, suspending the project initiation application, disqualifying the project initiation, and reducing or canceling the project support over the futures company, its risk management company and insurance institution that undertake the project.</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lang w:bidi="ar"/>
        </w:rPr>
      </w:pPr>
      <w:r w:rsidRPr="00922D58">
        <w:rPr>
          <w:rFonts w:ascii="Times New Roman" w:eastAsia="宋体" w:hAnsi="Times New Roman" w:cs="Times New Roman"/>
          <w:sz w:val="24"/>
          <w:szCs w:val="24"/>
          <w:lang w:bidi="ar"/>
        </w:rPr>
        <w:t>Futures companies, their risk management companies and insurance institutions shall properly preserve the information, documents</w:t>
      </w:r>
      <w:r w:rsidRPr="00922D58">
        <w:rPr>
          <w:rFonts w:ascii="Calibri" w:eastAsia="宋体" w:hAnsi="Calibri" w:cs="Times New Roman"/>
        </w:rPr>
        <w:t xml:space="preserve"> </w:t>
      </w:r>
      <w:r w:rsidRPr="00922D58">
        <w:rPr>
          <w:rFonts w:ascii="Times New Roman" w:eastAsia="宋体" w:hAnsi="Times New Roman" w:cs="Times New Roman"/>
          <w:sz w:val="24"/>
          <w:szCs w:val="24"/>
          <w:lang w:bidi="ar"/>
        </w:rPr>
        <w:t xml:space="preserve">and materials for the </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rPr>
        <w:t>Insurance + Futures</w:t>
      </w:r>
      <w:r w:rsidRPr="00922D58">
        <w:rPr>
          <w:rFonts w:ascii="Times New Roman" w:eastAsia="宋体" w:hAnsi="Times New Roman" w:cs="Times New Roman" w:hint="eastAsia"/>
          <w:sz w:val="24"/>
          <w:szCs w:val="24"/>
        </w:rPr>
        <w:t>"</w:t>
      </w:r>
      <w:r w:rsidRPr="00922D58">
        <w:rPr>
          <w:rFonts w:ascii="Times New Roman" w:eastAsia="宋体" w:hAnsi="Times New Roman" w:cs="Times New Roman"/>
          <w:sz w:val="24"/>
          <w:szCs w:val="24"/>
          <w:lang w:bidi="ar"/>
        </w:rPr>
        <w:t xml:space="preserve"> business. Insurance institutions shall preserve documents including insurance policies, household-based insuring lists, claims lists, etc.; futures companies and their risk management companies shall preserve documents including confirmations of the OTC options </w:t>
      </w:r>
      <w:r w:rsidRPr="00922D58">
        <w:rPr>
          <w:rFonts w:ascii="Times New Roman" w:eastAsia="宋体" w:hAnsi="Times New Roman" w:cs="Times New Roman" w:hint="eastAsia"/>
          <w:sz w:val="24"/>
          <w:szCs w:val="24"/>
          <w:lang w:eastAsia="zh-Hans" w:bidi="ar"/>
        </w:rPr>
        <w:t>trading</w:t>
      </w:r>
      <w:r w:rsidRPr="00922D58">
        <w:rPr>
          <w:rFonts w:ascii="Times New Roman" w:eastAsia="宋体" w:hAnsi="Times New Roman" w:cs="Times New Roman"/>
          <w:sz w:val="24"/>
          <w:szCs w:val="24"/>
          <w:lang w:bidi="ar"/>
        </w:rPr>
        <w:t>, settlement statements of the OTC options trading, hedging trading records, etc. The retention period of the above documents shall not be less than 20 years.</w:t>
      </w:r>
    </w:p>
    <w:p w:rsidR="00922D58" w:rsidRPr="00922D58" w:rsidRDefault="00922D58" w:rsidP="00922D58">
      <w:pPr>
        <w:adjustRightInd w:val="0"/>
        <w:snapToGrid w:val="0"/>
        <w:spacing w:before="200" w:line="288" w:lineRule="auto"/>
        <w:jc w:val="center"/>
        <w:rPr>
          <w:rFonts w:ascii="Times New Roman" w:eastAsia="宋体" w:hAnsi="Times New Roman" w:cs="Times New Roman"/>
          <w:b/>
          <w:bCs/>
          <w:sz w:val="24"/>
          <w:szCs w:val="24"/>
          <w:lang w:bidi="ar"/>
        </w:rPr>
      </w:pPr>
      <w:r w:rsidRPr="00922D58">
        <w:rPr>
          <w:rFonts w:ascii="Times New Roman" w:eastAsia="宋体" w:hAnsi="Times New Roman" w:cs="Times New Roman"/>
          <w:b/>
          <w:bCs/>
          <w:sz w:val="24"/>
          <w:szCs w:val="24"/>
          <w:lang w:bidi="ar"/>
        </w:rPr>
        <w:t>Chapter VI Supplement</w:t>
      </w:r>
      <w:r w:rsidRPr="00922D58">
        <w:rPr>
          <w:rFonts w:ascii="Times New Roman" w:eastAsia="宋体" w:hAnsi="Times New Roman" w:cs="Times New Roman" w:hint="eastAsia"/>
          <w:b/>
          <w:bCs/>
          <w:sz w:val="24"/>
          <w:szCs w:val="24"/>
          <w:lang w:eastAsia="zh-Hans" w:bidi="ar"/>
        </w:rPr>
        <w:t>ary</w:t>
      </w:r>
      <w:r w:rsidRPr="00922D58">
        <w:rPr>
          <w:rFonts w:ascii="Times New Roman" w:eastAsia="宋体" w:hAnsi="Times New Roman" w:cs="Times New Roman"/>
          <w:b/>
          <w:bCs/>
          <w:sz w:val="24"/>
          <w:szCs w:val="24"/>
          <w:lang w:eastAsia="zh-Hans" w:bidi="ar"/>
        </w:rPr>
        <w:t xml:space="preserve"> Provisions</w:t>
      </w:r>
      <w:r w:rsidRPr="00922D58">
        <w:rPr>
          <w:rFonts w:ascii="Times New Roman" w:eastAsia="宋体" w:hAnsi="Times New Roman" w:cs="Times New Roman"/>
          <w:b/>
          <w:bCs/>
          <w:sz w:val="24"/>
          <w:szCs w:val="24"/>
          <w:lang w:bidi="ar"/>
        </w:rPr>
        <w:t xml:space="preserve"> </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lang w:bidi="ar"/>
        </w:rPr>
      </w:pPr>
      <w:r w:rsidRPr="00922D58">
        <w:rPr>
          <w:rFonts w:ascii="Times New Roman" w:eastAsia="宋体" w:hAnsi="Times New Roman" w:cs="Times New Roman"/>
          <w:sz w:val="24"/>
          <w:szCs w:val="24"/>
          <w:lang w:bidi="ar"/>
        </w:rPr>
        <w:t>Futures companies and their risk management companies violating the provisions of th</w:t>
      </w:r>
      <w:r w:rsidRPr="00922D58">
        <w:rPr>
          <w:rFonts w:ascii="Times New Roman" w:eastAsia="宋体" w:hAnsi="Times New Roman" w:cs="Times New Roman" w:hint="eastAsia"/>
          <w:sz w:val="24"/>
          <w:szCs w:val="24"/>
          <w:lang w:eastAsia="zh-Hans" w:bidi="ar"/>
        </w:rPr>
        <w:t>e</w:t>
      </w:r>
      <w:r w:rsidRPr="00922D58">
        <w:rPr>
          <w:rFonts w:ascii="Times New Roman" w:eastAsia="宋体" w:hAnsi="Times New Roman" w:cs="Times New Roman"/>
          <w:sz w:val="24"/>
          <w:szCs w:val="24"/>
          <w:lang w:bidi="ar"/>
        </w:rPr>
        <w:t xml:space="preserve"> Measures shall be </w:t>
      </w:r>
      <w:r w:rsidRPr="00922D58">
        <w:rPr>
          <w:rFonts w:ascii="Times New Roman" w:eastAsia="宋体" w:hAnsi="Times New Roman" w:cs="Times New Roman" w:hint="eastAsia"/>
          <w:sz w:val="24"/>
          <w:szCs w:val="24"/>
          <w:lang w:eastAsia="zh-Hans" w:bidi="ar"/>
        </w:rPr>
        <w:t>handle</w:t>
      </w:r>
      <w:r w:rsidRPr="00922D58">
        <w:rPr>
          <w:rFonts w:ascii="Times New Roman" w:eastAsia="宋体" w:hAnsi="Times New Roman" w:cs="Times New Roman"/>
          <w:sz w:val="24"/>
          <w:szCs w:val="24"/>
          <w:lang w:eastAsia="zh-Hans" w:bidi="ar"/>
        </w:rPr>
        <w:t>d</w:t>
      </w:r>
      <w:r w:rsidRPr="00922D58">
        <w:rPr>
          <w:rFonts w:ascii="Times New Roman" w:eastAsia="宋体" w:hAnsi="Times New Roman" w:cs="Times New Roman"/>
          <w:sz w:val="24"/>
          <w:szCs w:val="24"/>
          <w:lang w:bidi="ar"/>
        </w:rPr>
        <w:t xml:space="preserve"> by the Exchange in accordance with the applicable provisions of the </w:t>
      </w:r>
      <w:r w:rsidRPr="00922D58">
        <w:rPr>
          <w:rFonts w:ascii="Times New Roman Italic" w:eastAsia="宋体" w:hAnsi="Times New Roman Italic" w:cs="Times New Roman Italic"/>
          <w:i/>
          <w:iCs/>
          <w:sz w:val="24"/>
          <w:szCs w:val="24"/>
          <w:lang w:bidi="ar"/>
        </w:rPr>
        <w:t>Measures against Rule Violations of Dalian Commodity Exchange</w:t>
      </w:r>
      <w:r w:rsidRPr="00922D58">
        <w:rPr>
          <w:rFonts w:ascii="Times New Roman" w:eastAsia="宋体" w:hAnsi="Times New Roman" w:cs="Times New Roman"/>
          <w:sz w:val="24"/>
          <w:szCs w:val="24"/>
          <w:lang w:bidi="ar"/>
        </w:rPr>
        <w:t>.</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lang w:bidi="ar"/>
        </w:rPr>
      </w:pPr>
      <w:r w:rsidRPr="00922D58">
        <w:rPr>
          <w:rFonts w:ascii="Times New Roman" w:eastAsia="宋体" w:hAnsi="Times New Roman" w:cs="Times New Roman"/>
          <w:sz w:val="24"/>
          <w:szCs w:val="24"/>
          <w:lang w:bidi="ar"/>
        </w:rPr>
        <w:t xml:space="preserve">The </w:t>
      </w:r>
      <w:r w:rsidRPr="00922D58">
        <w:rPr>
          <w:rFonts w:ascii="Times New Roman" w:eastAsia="宋体" w:hAnsi="Times New Roman" w:cs="Times New Roman"/>
          <w:sz w:val="24"/>
          <w:szCs w:val="24"/>
          <w:lang w:eastAsia="zh-Hans"/>
        </w:rPr>
        <w:t>Exchange</w:t>
      </w:r>
      <w:r w:rsidRPr="00922D58">
        <w:rPr>
          <w:rFonts w:ascii="Times New Roman" w:eastAsia="宋体" w:hAnsi="Times New Roman" w:cs="Times New Roman"/>
          <w:sz w:val="24"/>
          <w:szCs w:val="24"/>
          <w:lang w:bidi="ar"/>
        </w:rPr>
        <w:t xml:space="preserve"> reserves the right to interpret the Measures.</w:t>
      </w:r>
    </w:p>
    <w:p w:rsidR="00922D58" w:rsidRPr="00922D58" w:rsidRDefault="00922D58" w:rsidP="00922D58">
      <w:pPr>
        <w:numPr>
          <w:ilvl w:val="0"/>
          <w:numId w:val="1"/>
        </w:numPr>
        <w:adjustRightInd w:val="0"/>
        <w:snapToGrid w:val="0"/>
        <w:spacing w:before="200" w:line="288" w:lineRule="auto"/>
        <w:ind w:left="1259" w:hanging="1259"/>
        <w:rPr>
          <w:rFonts w:ascii="Times New Roman" w:eastAsia="宋体" w:hAnsi="Times New Roman" w:cs="Times New Roman"/>
          <w:sz w:val="24"/>
          <w:szCs w:val="24"/>
          <w:lang w:bidi="ar"/>
        </w:rPr>
      </w:pPr>
      <w:r w:rsidRPr="00922D58">
        <w:rPr>
          <w:rFonts w:ascii="Times New Roman" w:eastAsia="宋体" w:hAnsi="Times New Roman" w:cs="Times New Roman"/>
          <w:sz w:val="24"/>
          <w:szCs w:val="24"/>
          <w:lang w:bidi="ar"/>
        </w:rPr>
        <w:t xml:space="preserve">The Measures shall come into force on the date of </w:t>
      </w:r>
      <w:r w:rsidRPr="00922D58">
        <w:rPr>
          <w:rFonts w:ascii="Times New Roman" w:eastAsia="宋体" w:hAnsi="Times New Roman" w:cs="Times New Roman" w:hint="eastAsia"/>
          <w:sz w:val="24"/>
          <w:szCs w:val="24"/>
          <w:lang w:eastAsia="zh-Hans" w:bidi="ar"/>
        </w:rPr>
        <w:t>the</w:t>
      </w:r>
      <w:r w:rsidRPr="00922D58">
        <w:rPr>
          <w:rFonts w:ascii="Times New Roman" w:eastAsia="宋体" w:hAnsi="Times New Roman" w:cs="Times New Roman"/>
          <w:sz w:val="24"/>
          <w:szCs w:val="24"/>
          <w:lang w:eastAsia="zh-Hans" w:bidi="ar"/>
        </w:rPr>
        <w:t xml:space="preserve"> </w:t>
      </w:r>
      <w:r w:rsidRPr="00922D58">
        <w:rPr>
          <w:rFonts w:ascii="Times New Roman" w:eastAsia="宋体" w:hAnsi="Times New Roman" w:cs="Times New Roman"/>
          <w:sz w:val="24"/>
          <w:szCs w:val="24"/>
          <w:lang w:bidi="ar"/>
        </w:rPr>
        <w:t>promulgation.</w:t>
      </w:r>
    </w:p>
    <w:p w:rsidR="00922D58" w:rsidRPr="00922D58" w:rsidRDefault="00922D58" w:rsidP="00922D58">
      <w:pPr>
        <w:snapToGrid w:val="0"/>
        <w:spacing w:before="200" w:line="288" w:lineRule="auto"/>
        <w:rPr>
          <w:rFonts w:ascii="Calibri" w:eastAsia="宋体" w:hAnsi="Calibri" w:cs="Times New Roman"/>
          <w:sz w:val="24"/>
          <w:szCs w:val="24"/>
        </w:rPr>
      </w:pPr>
    </w:p>
    <w:p w:rsidR="00922D58" w:rsidRPr="00922D58" w:rsidRDefault="00922D58" w:rsidP="00922D58">
      <w:pPr>
        <w:snapToGrid w:val="0"/>
        <w:spacing w:before="200" w:line="288" w:lineRule="auto"/>
        <w:rPr>
          <w:rFonts w:ascii="Times New Roman" w:eastAsia="宋体" w:hAnsi="Times New Roman" w:cs="Times New Roman"/>
          <w:b/>
          <w:i/>
          <w:color w:val="000000"/>
          <w:kern w:val="0"/>
          <w:sz w:val="24"/>
          <w:szCs w:val="24"/>
          <w:lang w:bidi="ar"/>
        </w:rPr>
      </w:pPr>
    </w:p>
    <w:p w:rsidR="00922D58" w:rsidRPr="00922D58" w:rsidRDefault="00922D58" w:rsidP="00922D58">
      <w:pPr>
        <w:snapToGrid w:val="0"/>
        <w:spacing w:before="200" w:line="288" w:lineRule="auto"/>
        <w:rPr>
          <w:rFonts w:ascii="Calibri" w:eastAsia="宋体" w:hAnsi="Calibri" w:cs="Times New Roman"/>
          <w:sz w:val="24"/>
          <w:szCs w:val="24"/>
        </w:rPr>
      </w:pPr>
      <w:r w:rsidRPr="00922D58">
        <w:rPr>
          <w:rFonts w:ascii="Times New Roman" w:eastAsia="宋体" w:hAnsi="Times New Roman" w:cs="Times New Roman"/>
          <w:b/>
          <w:i/>
          <w:color w:val="000000"/>
          <w:kern w:val="0"/>
          <w:sz w:val="24"/>
          <w:szCs w:val="24"/>
          <w:lang w:bidi="ar"/>
        </w:rPr>
        <w:t>Disclaimer</w:t>
      </w:r>
      <w:r w:rsidRPr="00922D58">
        <w:rPr>
          <w:rFonts w:ascii="Times New Roman" w:eastAsia="宋体" w:hAnsi="Times New Roman" w:cs="Times New Roman"/>
          <w:i/>
          <w:color w:val="000000"/>
          <w:kern w:val="0"/>
          <w:sz w:val="24"/>
          <w:szCs w:val="24"/>
          <w:lang w:bidi="ar"/>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sidRPr="00922D58">
        <w:rPr>
          <w:rFonts w:ascii="Times New Roman" w:eastAsia="宋体" w:hAnsi="Times New Roman" w:cs="Times New Roman"/>
          <w:color w:val="000000"/>
          <w:kern w:val="0"/>
          <w:sz w:val="24"/>
          <w:szCs w:val="24"/>
          <w:shd w:val="clear" w:color="auto" w:fill="FFFFFF"/>
          <w:lang w:bidi="ar"/>
        </w:rPr>
        <w:t>.</w:t>
      </w:r>
    </w:p>
    <w:p w:rsidR="00922D58" w:rsidRPr="00922D58" w:rsidRDefault="00922D58" w:rsidP="00922D58">
      <w:pPr>
        <w:snapToGrid w:val="0"/>
        <w:spacing w:before="200" w:line="288" w:lineRule="auto"/>
        <w:rPr>
          <w:rFonts w:ascii="Calibri" w:eastAsia="宋体" w:hAnsi="Calibri" w:cs="Times New Roman"/>
          <w:sz w:val="24"/>
          <w:szCs w:val="24"/>
        </w:rPr>
      </w:pPr>
    </w:p>
    <w:p w:rsidR="00196C76" w:rsidRPr="00922D58" w:rsidRDefault="00196C76"/>
    <w:sectPr w:rsidR="00196C76" w:rsidRPr="00922D58">
      <w:headerReference w:type="default"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58" w:rsidRDefault="00922D58" w:rsidP="00922D58">
      <w:r>
        <w:separator/>
      </w:r>
    </w:p>
  </w:endnote>
  <w:endnote w:type="continuationSeparator" w:id="0">
    <w:p w:rsidR="00922D58" w:rsidRDefault="00922D58" w:rsidP="0092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0" w:usb1="00000000" w:usb2="00000000" w:usb3="00000000" w:csb0="00040001" w:csb1="00000000"/>
  </w:font>
  <w:font w:name="Times New Roman Italic">
    <w:altName w:val="Times New Roman"/>
    <w:panose1 w:val="02020503050405090304"/>
    <w:charset w:val="00"/>
    <w:family w:val="auto"/>
    <w:pitch w:val="default"/>
    <w:sig w:usb0="00000000" w:usb1="00000000" w:usb2="00000000" w:usb3="00000000" w:csb0="00040001" w:csb1="00000000"/>
  </w:font>
  <w:font w:name="Times New Roman Regular">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2D5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9595" cy="175260"/>
              <wp:effectExtent l="0" t="0"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922D58">
                          <w:pPr>
                            <w:pStyle w:val="a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- 4 -</w:t>
                          </w:r>
                          <w:r>
                            <w:rPr>
                              <w:rFonts w:ascii="Times New Roman" w:hAnsi="Times New Roman"/>
                              <w:sz w:val="24"/>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4.85pt;height:1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" filled="f" stroked="f" strokeweight=".5pt">
              <v:textbox style="mso-fit-shape-to-text:t" inset="0,0,0,0">
                <w:txbxContent>
                  <w:p w:rsidR="00000000" w:rsidRDefault="00922D58">
                    <w:pPr>
                      <w:pStyle w:val="a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- 4 -</w:t>
                    </w:r>
                    <w:r>
                      <w:rPr>
                        <w:rFonts w:ascii="Times New Roman" w:hAnsi="Times New Roman"/>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58" w:rsidRDefault="00922D58" w:rsidP="00922D58">
      <w:r>
        <w:separator/>
      </w:r>
    </w:p>
  </w:footnote>
  <w:footnote w:type="continuationSeparator" w:id="0">
    <w:p w:rsidR="00922D58" w:rsidRDefault="00922D58" w:rsidP="0092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2D58">
    <w:pPr>
      <w:pStyle w:val="a3"/>
      <w:jc w:val="right"/>
      <w:rPr>
        <w:rFonts w:ascii="Times New Roman" w:hAnsi="Times New Roman"/>
        <w:i/>
        <w:iCs/>
      </w:rPr>
    </w:pPr>
    <w:r>
      <w:rPr>
        <w:rFonts w:ascii="Times New Roman" w:hAnsi="Times New Roman"/>
        <w:i/>
        <w:iCs/>
      </w:rPr>
      <w:t>Translation © Dalian Commodity Exchange 2024</w:t>
    </w:r>
  </w:p>
  <w:p w:rsidR="00000000" w:rsidRDefault="00922D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06538"/>
    <w:multiLevelType w:val="multilevel"/>
    <w:tmpl w:val="69006538"/>
    <w:lvl w:ilvl="0">
      <w:start w:val="1"/>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7D0A3B4E"/>
    <w:multiLevelType w:val="multilevel"/>
    <w:tmpl w:val="7D0A3B4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5E"/>
    <w:rsid w:val="00196C76"/>
    <w:rsid w:val="006C025E"/>
    <w:rsid w:val="00922D58"/>
    <w:rsid w:val="00B8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71AB2D-6CF1-4C3E-838E-C8232FD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D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2D58"/>
    <w:rPr>
      <w:sz w:val="18"/>
      <w:szCs w:val="18"/>
    </w:rPr>
  </w:style>
  <w:style w:type="paragraph" w:styleId="a5">
    <w:name w:val="footer"/>
    <w:basedOn w:val="a"/>
    <w:link w:val="a6"/>
    <w:uiPriority w:val="99"/>
    <w:unhideWhenUsed/>
    <w:rsid w:val="00922D58"/>
    <w:pPr>
      <w:tabs>
        <w:tab w:val="center" w:pos="4153"/>
        <w:tab w:val="right" w:pos="8306"/>
      </w:tabs>
      <w:snapToGrid w:val="0"/>
      <w:jc w:val="left"/>
    </w:pPr>
    <w:rPr>
      <w:sz w:val="18"/>
      <w:szCs w:val="18"/>
    </w:rPr>
  </w:style>
  <w:style w:type="character" w:customStyle="1" w:styleId="a6">
    <w:name w:val="页脚 字符"/>
    <w:basedOn w:val="a0"/>
    <w:link w:val="a5"/>
    <w:uiPriority w:val="99"/>
    <w:rsid w:val="00922D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2024-05-13T07:55:00Z</dcterms:created>
  <dcterms:modified xsi:type="dcterms:W3CDTF">2024-05-13T07:56:00Z</dcterms:modified>
</cp:coreProperties>
</file>