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A4C" w:rsidRPr="00146A4C" w:rsidRDefault="00146A4C" w:rsidP="00146A4C">
      <w:pPr>
        <w:widowControl/>
        <w:adjustRightInd w:val="0"/>
        <w:snapToGrid w:val="0"/>
        <w:spacing w:after="200" w:line="288" w:lineRule="auto"/>
        <w:outlineLvl w:val="0"/>
        <w:rPr>
          <w:rFonts w:ascii="Times New Roman" w:eastAsia="宋体" w:hAnsi="Times New Roman"/>
          <w:kern w:val="0"/>
          <w:sz w:val="24"/>
          <w:szCs w:val="24"/>
        </w:rPr>
      </w:pPr>
      <w:r w:rsidRPr="00146A4C">
        <w:rPr>
          <w:rFonts w:ascii="Times New Roman" w:eastAsia="宋体" w:hAnsi="Times New Roman"/>
          <w:kern w:val="0"/>
          <w:sz w:val="24"/>
          <w:szCs w:val="24"/>
        </w:rPr>
        <w:t>Attachment 2:</w:t>
      </w:r>
    </w:p>
    <w:p w:rsidR="00146A4C" w:rsidRPr="00146A4C" w:rsidRDefault="00146A4C" w:rsidP="00146A4C">
      <w:pPr>
        <w:adjustRightInd w:val="0"/>
        <w:snapToGrid w:val="0"/>
        <w:spacing w:before="200" w:line="288" w:lineRule="auto"/>
        <w:jc w:val="center"/>
        <w:outlineLvl w:val="0"/>
        <w:rPr>
          <w:rFonts w:ascii="Times New Roman" w:eastAsia="宋体" w:hAnsi="Times New Roman"/>
          <w:kern w:val="0"/>
          <w:sz w:val="24"/>
          <w:szCs w:val="24"/>
        </w:rPr>
      </w:pPr>
      <w:r w:rsidRPr="00146A4C">
        <w:rPr>
          <w:rFonts w:ascii="Times New Roman" w:eastAsia="宋体" w:hAnsi="Times New Roman"/>
          <w:b/>
          <w:bCs/>
          <w:color w:val="000000"/>
          <w:sz w:val="24"/>
          <w:szCs w:val="24"/>
        </w:rPr>
        <w:t>Comparison Table of the Amendments to the Relevant Rules</w:t>
      </w:r>
    </w:p>
    <w:p w:rsidR="00146A4C" w:rsidRPr="00146A4C" w:rsidRDefault="00146A4C" w:rsidP="00146A4C">
      <w:pPr>
        <w:adjustRightInd w:val="0"/>
        <w:snapToGrid w:val="0"/>
        <w:spacing w:before="200" w:line="288" w:lineRule="auto"/>
        <w:jc w:val="center"/>
        <w:outlineLvl w:val="1"/>
        <w:rPr>
          <w:rFonts w:ascii="Times New Roman" w:eastAsia="宋体" w:hAnsi="Times New Roman"/>
          <w:color w:val="000000"/>
          <w:sz w:val="24"/>
          <w:szCs w:val="24"/>
        </w:rPr>
      </w:pPr>
      <w:r w:rsidRPr="00146A4C">
        <w:rPr>
          <w:rFonts w:ascii="Times New Roman" w:eastAsia="仿宋_GB2312" w:hAnsi="Times New Roman"/>
          <w:b/>
          <w:sz w:val="24"/>
          <w:szCs w:val="24"/>
        </w:rPr>
        <w:t>Comparison Table of the Amen</w:t>
      </w:r>
      <w:bookmarkStart w:id="0" w:name="_GoBack"/>
      <w:bookmarkEnd w:id="0"/>
      <w:r w:rsidRPr="00146A4C">
        <w:rPr>
          <w:rFonts w:ascii="Times New Roman" w:eastAsia="仿宋_GB2312" w:hAnsi="Times New Roman"/>
          <w:b/>
          <w:sz w:val="24"/>
          <w:szCs w:val="24"/>
        </w:rPr>
        <w:t>dments to</w:t>
      </w:r>
      <w:r w:rsidRPr="00146A4C">
        <w:rPr>
          <w:rFonts w:ascii="Times New Roman" w:eastAsia="宋体" w:hAnsi="Times New Roman"/>
          <w:b/>
          <w:color w:val="000000"/>
          <w:sz w:val="24"/>
          <w:szCs w:val="24"/>
        </w:rPr>
        <w:t xml:space="preserve"> </w:t>
      </w:r>
      <w:r w:rsidRPr="00146A4C">
        <w:rPr>
          <w:rFonts w:ascii="Times New Roman" w:eastAsia="宋体" w:hAnsi="Times New Roman"/>
          <w:b/>
          <w:bCs/>
          <w:color w:val="000000"/>
          <w:sz w:val="24"/>
          <w:szCs w:val="24"/>
        </w:rPr>
        <w:t xml:space="preserve">the </w:t>
      </w:r>
      <w:r w:rsidRPr="00146A4C">
        <w:rPr>
          <w:rFonts w:ascii="Times New Roman" w:eastAsia="宋体" w:hAnsi="Times New Roman"/>
          <w:b/>
          <w:color w:val="000000"/>
          <w:sz w:val="24"/>
          <w:szCs w:val="24"/>
        </w:rPr>
        <w:t xml:space="preserve">Measures for Clearing Management of Dalian Commodity Exchange </w:t>
      </w:r>
    </w:p>
    <w:p w:rsidR="00146A4C" w:rsidRPr="00146A4C" w:rsidRDefault="00146A4C" w:rsidP="00146A4C">
      <w:pPr>
        <w:adjustRightInd w:val="0"/>
        <w:snapToGrid w:val="0"/>
        <w:spacing w:before="200" w:line="288" w:lineRule="auto"/>
        <w:jc w:val="left"/>
        <w:rPr>
          <w:rFonts w:ascii="Times New Roman" w:eastAsia="宋体" w:hAnsi="Times New Roman"/>
          <w:i/>
          <w:iCs/>
          <w:color w:val="000000"/>
          <w:sz w:val="24"/>
          <w:szCs w:val="24"/>
        </w:rPr>
      </w:pPr>
      <w:r w:rsidRPr="00146A4C">
        <w:rPr>
          <w:rFonts w:ascii="Times New Roman" w:eastAsia="宋体" w:hAnsi="Times New Roman"/>
          <w:color w:val="000000"/>
          <w:sz w:val="24"/>
          <w:szCs w:val="24"/>
        </w:rPr>
        <w:t>(Contents newly added are in shade; and in case of any additions or deletions of any articles, the remaining articles shall be re-numbered accordingly.)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4191"/>
      </w:tblGrid>
      <w:tr w:rsidR="00146A4C" w:rsidRPr="00146A4C" w:rsidTr="001B19F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46A4C" w:rsidRPr="00146A4C" w:rsidRDefault="00146A4C" w:rsidP="00146A4C">
            <w:pPr>
              <w:adjustRightInd w:val="0"/>
              <w:snapToGrid w:val="0"/>
              <w:spacing w:before="200" w:line="288" w:lineRule="auto"/>
              <w:jc w:val="center"/>
              <w:rPr>
                <w:rFonts w:ascii="Times New Roman" w:eastAsia="仿宋_GB2312" w:hAnsi="Times New Roman"/>
                <w:b/>
                <w:sz w:val="24"/>
                <w:szCs w:val="24"/>
              </w:rPr>
            </w:pPr>
            <w:r w:rsidRPr="00146A4C">
              <w:rPr>
                <w:rFonts w:ascii="Times New Roman" w:eastAsia="仿宋_GB2312" w:hAnsi="Times New Roman"/>
                <w:b/>
                <w:sz w:val="24"/>
                <w:szCs w:val="24"/>
              </w:rPr>
              <w:t>Original Articles</w:t>
            </w:r>
          </w:p>
        </w:tc>
        <w:tc>
          <w:tcPr>
            <w:tcW w:w="4193" w:type="dxa"/>
            <w:tcBorders>
              <w:top w:val="single" w:sz="4" w:space="0" w:color="auto"/>
              <w:left w:val="nil"/>
              <w:bottom w:val="single" w:sz="4" w:space="0" w:color="auto"/>
              <w:right w:val="single" w:sz="4" w:space="0" w:color="auto"/>
            </w:tcBorders>
          </w:tcPr>
          <w:p w:rsidR="00146A4C" w:rsidRPr="00146A4C" w:rsidRDefault="00146A4C" w:rsidP="00146A4C">
            <w:pPr>
              <w:adjustRightInd w:val="0"/>
              <w:snapToGrid w:val="0"/>
              <w:spacing w:before="200" w:line="288" w:lineRule="auto"/>
              <w:jc w:val="center"/>
              <w:rPr>
                <w:rFonts w:ascii="Times New Roman" w:eastAsia="仿宋_GB2312" w:hAnsi="Times New Roman"/>
                <w:b/>
                <w:sz w:val="24"/>
                <w:szCs w:val="24"/>
              </w:rPr>
            </w:pPr>
            <w:r w:rsidRPr="00146A4C">
              <w:rPr>
                <w:rFonts w:ascii="Times New Roman" w:eastAsia="仿宋_GB2312" w:hAnsi="Times New Roman"/>
                <w:b/>
                <w:sz w:val="24"/>
                <w:szCs w:val="24"/>
              </w:rPr>
              <w:t>Amended Articles</w:t>
            </w:r>
          </w:p>
        </w:tc>
      </w:tr>
      <w:tr w:rsidR="00146A4C" w:rsidRPr="00146A4C" w:rsidTr="001B19F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46A4C" w:rsidRPr="00146A4C" w:rsidRDefault="00146A4C" w:rsidP="00146A4C">
            <w:pPr>
              <w:autoSpaceDE w:val="0"/>
              <w:autoSpaceDN w:val="0"/>
              <w:adjustRightInd w:val="0"/>
              <w:snapToGrid w:val="0"/>
              <w:spacing w:before="200" w:line="288" w:lineRule="auto"/>
              <w:rPr>
                <w:rFonts w:ascii="Times New Roman" w:eastAsia="宋体" w:hAnsi="Times New Roman"/>
                <w:snapToGrid w:val="0"/>
                <w:sz w:val="24"/>
                <w:szCs w:val="24"/>
              </w:rPr>
            </w:pPr>
            <w:r w:rsidRPr="00146A4C">
              <w:rPr>
                <w:rFonts w:ascii="Times New Roman" w:eastAsia="宋体" w:hAnsi="Times New Roman"/>
                <w:b/>
                <w:snapToGrid w:val="0"/>
                <w:sz w:val="24"/>
                <w:szCs w:val="24"/>
              </w:rPr>
              <w:t xml:space="preserve">Article 90 </w:t>
            </w:r>
            <w:r w:rsidRPr="00146A4C">
              <w:rPr>
                <w:rFonts w:ascii="Times New Roman" w:eastAsia="宋体" w:hAnsi="Times New Roman"/>
                <w:snapToGrid w:val="0"/>
                <w:sz w:val="24"/>
                <w:szCs w:val="24"/>
              </w:rPr>
              <w:t>When the Member fails to perform or is incapable to fully perform the obligation for paying the debts of trading margins, the Exchange shall have the right to dispose of the Assets as Margins, and to preferentially compensate the margins debts and related debts from the proceeds it received from such conversion. The Member shall bear any and all losses and costs arising out of the disposition of such Assets as Margins.</w:t>
            </w:r>
          </w:p>
        </w:tc>
        <w:tc>
          <w:tcPr>
            <w:tcW w:w="4193" w:type="dxa"/>
            <w:tcBorders>
              <w:top w:val="single" w:sz="4" w:space="0" w:color="auto"/>
              <w:left w:val="nil"/>
              <w:bottom w:val="single" w:sz="4" w:space="0" w:color="auto"/>
              <w:right w:val="single" w:sz="4" w:space="0" w:color="auto"/>
            </w:tcBorders>
          </w:tcPr>
          <w:p w:rsidR="00146A4C" w:rsidRPr="00146A4C" w:rsidRDefault="00146A4C" w:rsidP="00146A4C">
            <w:pPr>
              <w:autoSpaceDE w:val="0"/>
              <w:autoSpaceDN w:val="0"/>
              <w:adjustRightInd w:val="0"/>
              <w:snapToGrid w:val="0"/>
              <w:spacing w:before="200" w:line="288" w:lineRule="auto"/>
              <w:rPr>
                <w:rFonts w:ascii="Times New Roman" w:eastAsia="宋体" w:hAnsi="Times New Roman"/>
                <w:snapToGrid w:val="0"/>
                <w:sz w:val="24"/>
                <w:szCs w:val="24"/>
              </w:rPr>
            </w:pPr>
            <w:r w:rsidRPr="00146A4C">
              <w:rPr>
                <w:rFonts w:ascii="Times New Roman" w:eastAsia="宋体" w:hAnsi="Times New Roman"/>
                <w:b/>
                <w:snapToGrid w:val="0"/>
                <w:sz w:val="24"/>
                <w:szCs w:val="24"/>
              </w:rPr>
              <w:t>Article 90</w:t>
            </w:r>
            <w:r w:rsidRPr="00146A4C">
              <w:rPr>
                <w:rFonts w:ascii="Times New Roman" w:eastAsia="宋体" w:hAnsi="Times New Roman"/>
                <w:snapToGrid w:val="0"/>
                <w:sz w:val="24"/>
                <w:szCs w:val="24"/>
              </w:rPr>
              <w:t xml:space="preserve"> When the Member fails to perform or is incapable to fully perform the obligation for paying the debts of trading margins</w:t>
            </w:r>
            <w:bookmarkStart w:id="1" w:name="_Hlk144628674"/>
            <w:r w:rsidRPr="00146A4C">
              <w:rPr>
                <w:rFonts w:ascii="Times New Roman" w:eastAsia="宋体" w:hAnsi="Times New Roman"/>
                <w:snapToGrid w:val="0"/>
                <w:sz w:val="24"/>
                <w:szCs w:val="24"/>
              </w:rPr>
              <w:t xml:space="preserve"> </w:t>
            </w:r>
            <w:r w:rsidRPr="00146A4C">
              <w:rPr>
                <w:rFonts w:ascii="Times New Roman" w:eastAsia="宋体" w:hAnsi="Times New Roman"/>
                <w:sz w:val="24"/>
                <w:szCs w:val="24"/>
                <w:highlight w:val="lightGray"/>
              </w:rPr>
              <w:t>and rel</w:t>
            </w:r>
            <w:r w:rsidRPr="00146A4C">
              <w:rPr>
                <w:rFonts w:ascii="Times New Roman" w:eastAsia="宋体" w:hAnsi="Times New Roman" w:hint="eastAsia"/>
                <w:sz w:val="24"/>
                <w:szCs w:val="24"/>
                <w:highlight w:val="lightGray"/>
              </w:rPr>
              <w:t>ated</w:t>
            </w:r>
            <w:r w:rsidRPr="00146A4C">
              <w:rPr>
                <w:rFonts w:ascii="Times New Roman" w:eastAsia="宋体" w:hAnsi="Times New Roman"/>
                <w:sz w:val="24"/>
                <w:szCs w:val="24"/>
                <w:highlight w:val="lightGray"/>
              </w:rPr>
              <w:t xml:space="preserve"> debts</w:t>
            </w:r>
            <w:bookmarkEnd w:id="1"/>
            <w:r w:rsidRPr="00146A4C">
              <w:rPr>
                <w:rFonts w:ascii="Times New Roman" w:eastAsia="宋体" w:hAnsi="Times New Roman"/>
                <w:snapToGrid w:val="0"/>
                <w:sz w:val="24"/>
                <w:szCs w:val="24"/>
              </w:rPr>
              <w:t>, the Exchange shall have the right to dispose of the Assets as Margins, and to preferentially compensate the margins debts and related debts from the proceeds it received from such conversion. The Member shall bear any and all losses and costs arising out of the disposition of such Assets as Margins.</w:t>
            </w:r>
          </w:p>
        </w:tc>
      </w:tr>
      <w:tr w:rsidR="00146A4C" w:rsidRPr="00146A4C" w:rsidTr="001B19FD">
        <w:trPr>
          <w:trHeight w:val="300"/>
          <w:jc w:val="center"/>
        </w:trPr>
        <w:tc>
          <w:tcPr>
            <w:tcW w:w="4106" w:type="dxa"/>
            <w:tcBorders>
              <w:top w:val="single" w:sz="4" w:space="0" w:color="auto"/>
              <w:left w:val="single" w:sz="4" w:space="0" w:color="auto"/>
              <w:bottom w:val="single" w:sz="4" w:space="0" w:color="auto"/>
              <w:right w:val="single" w:sz="4" w:space="0" w:color="auto"/>
            </w:tcBorders>
          </w:tcPr>
          <w:p w:rsidR="00146A4C" w:rsidRPr="00146A4C" w:rsidRDefault="00146A4C" w:rsidP="00146A4C">
            <w:pPr>
              <w:autoSpaceDE w:val="0"/>
              <w:autoSpaceDN w:val="0"/>
              <w:adjustRightInd w:val="0"/>
              <w:snapToGrid w:val="0"/>
              <w:spacing w:before="200" w:line="288" w:lineRule="auto"/>
              <w:rPr>
                <w:rFonts w:ascii="Times New Roman" w:eastAsia="宋体" w:hAnsi="Times New Roman"/>
                <w:snapToGrid w:val="0"/>
                <w:sz w:val="24"/>
                <w:szCs w:val="24"/>
              </w:rPr>
            </w:pPr>
          </w:p>
        </w:tc>
        <w:tc>
          <w:tcPr>
            <w:tcW w:w="4193" w:type="dxa"/>
            <w:tcBorders>
              <w:top w:val="single" w:sz="4" w:space="0" w:color="auto"/>
              <w:left w:val="nil"/>
              <w:bottom w:val="single" w:sz="4" w:space="0" w:color="auto"/>
              <w:right w:val="single" w:sz="4" w:space="0" w:color="auto"/>
            </w:tcBorders>
          </w:tcPr>
          <w:p w:rsidR="00146A4C" w:rsidRPr="00146A4C" w:rsidRDefault="00146A4C" w:rsidP="00146A4C">
            <w:pPr>
              <w:autoSpaceDE w:val="0"/>
              <w:autoSpaceDN w:val="0"/>
              <w:adjustRightInd w:val="0"/>
              <w:snapToGrid w:val="0"/>
              <w:spacing w:before="200" w:line="288" w:lineRule="auto"/>
              <w:rPr>
                <w:rFonts w:ascii="Times New Roman" w:eastAsia="宋体" w:hAnsi="Times New Roman"/>
                <w:snapToGrid w:val="0"/>
                <w:sz w:val="24"/>
                <w:szCs w:val="24"/>
                <w:highlight w:val="lightGray"/>
              </w:rPr>
            </w:pPr>
            <w:bookmarkStart w:id="2" w:name="_Hlk144628440"/>
            <w:r w:rsidRPr="00146A4C">
              <w:rPr>
                <w:rFonts w:ascii="Times New Roman" w:eastAsia="宋体" w:hAnsi="Times New Roman"/>
                <w:b/>
                <w:snapToGrid w:val="0"/>
                <w:sz w:val="24"/>
                <w:szCs w:val="24"/>
                <w:highlight w:val="lightGray"/>
              </w:rPr>
              <w:t>Article 91</w:t>
            </w:r>
            <w:r w:rsidRPr="00146A4C">
              <w:rPr>
                <w:rFonts w:ascii="Times New Roman" w:eastAsia="宋体" w:hAnsi="Times New Roman"/>
                <w:snapToGrid w:val="0"/>
                <w:sz w:val="24"/>
                <w:szCs w:val="24"/>
                <w:highlight w:val="lightGray"/>
              </w:rPr>
              <w:t xml:space="preserve"> The negotiable securities taken as the margins to be disposed of during the Exchange</w:t>
            </w:r>
            <w:r w:rsidRPr="00146A4C">
              <w:rPr>
                <w:rFonts w:ascii="Times New Roman" w:eastAsia="宋体" w:hAnsi="Times New Roman" w:hint="eastAsia"/>
                <w:snapToGrid w:val="0"/>
                <w:sz w:val="24"/>
                <w:szCs w:val="24"/>
                <w:highlight w:val="lightGray"/>
              </w:rPr>
              <w:t>'</w:t>
            </w:r>
            <w:r w:rsidRPr="00146A4C">
              <w:rPr>
                <w:rFonts w:ascii="Times New Roman" w:eastAsia="宋体" w:hAnsi="Times New Roman"/>
                <w:snapToGrid w:val="0"/>
                <w:sz w:val="24"/>
                <w:szCs w:val="24"/>
                <w:highlight w:val="lightGray"/>
              </w:rPr>
              <w:t xml:space="preserve">s disposal process, </w:t>
            </w:r>
            <w:r w:rsidRPr="00146A4C">
              <w:rPr>
                <w:rFonts w:ascii="Times New Roman" w:eastAsia="宋体" w:hAnsi="Times New Roman" w:hint="eastAsia"/>
                <w:snapToGrid w:val="0"/>
                <w:sz w:val="24"/>
                <w:szCs w:val="24"/>
                <w:highlight w:val="lightGray"/>
              </w:rPr>
              <w:t>may</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be</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chosen</w:t>
            </w:r>
            <w:r w:rsidRPr="00146A4C">
              <w:rPr>
                <w:rFonts w:ascii="Times New Roman" w:eastAsia="宋体" w:hAnsi="Times New Roman"/>
                <w:snapToGrid w:val="0"/>
                <w:sz w:val="24"/>
                <w:szCs w:val="24"/>
                <w:highlight w:val="lightGray"/>
              </w:rPr>
              <w:t xml:space="preserve"> according to the market liquidity, valid period, disposal efficiency and other factors of the</w:t>
            </w:r>
            <w:r w:rsidRPr="00146A4C">
              <w:rPr>
                <w:rFonts w:ascii="Times New Roman" w:eastAsia="宋体" w:hAnsi="Times New Roman" w:hint="eastAsia"/>
                <w:snapToGrid w:val="0"/>
                <w:sz w:val="24"/>
                <w:szCs w:val="24"/>
                <w:highlight w:val="lightGray"/>
              </w:rPr>
              <w:t>m</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by</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the</w:t>
            </w:r>
            <w:r w:rsidRPr="00146A4C">
              <w:rPr>
                <w:rFonts w:ascii="Times New Roman" w:eastAsia="宋体" w:hAnsi="Times New Roman"/>
                <w:snapToGrid w:val="0"/>
                <w:sz w:val="24"/>
                <w:szCs w:val="24"/>
                <w:highlight w:val="lightGray"/>
              </w:rPr>
              <w:t xml:space="preserve"> E</w:t>
            </w:r>
            <w:r w:rsidRPr="00146A4C">
              <w:rPr>
                <w:rFonts w:ascii="Times New Roman" w:eastAsia="宋体" w:hAnsi="Times New Roman" w:hint="eastAsia"/>
                <w:snapToGrid w:val="0"/>
                <w:sz w:val="24"/>
                <w:szCs w:val="24"/>
                <w:highlight w:val="lightGray"/>
              </w:rPr>
              <w:t>xchange</w:t>
            </w:r>
            <w:r w:rsidRPr="00146A4C">
              <w:rPr>
                <w:rFonts w:ascii="Times New Roman" w:eastAsia="宋体" w:hAnsi="Times New Roman"/>
                <w:snapToGrid w:val="0"/>
                <w:sz w:val="24"/>
                <w:szCs w:val="24"/>
                <w:highlight w:val="lightGray"/>
              </w:rPr>
              <w:t>.</w:t>
            </w:r>
          </w:p>
          <w:p w:rsidR="00146A4C" w:rsidRPr="00146A4C" w:rsidRDefault="00146A4C" w:rsidP="00146A4C">
            <w:pPr>
              <w:autoSpaceDE w:val="0"/>
              <w:autoSpaceDN w:val="0"/>
              <w:adjustRightInd w:val="0"/>
              <w:snapToGrid w:val="0"/>
              <w:spacing w:before="200" w:line="288" w:lineRule="auto"/>
              <w:rPr>
                <w:rFonts w:ascii="Times New Roman" w:eastAsia="宋体" w:hAnsi="Times New Roman"/>
                <w:snapToGrid w:val="0"/>
                <w:sz w:val="24"/>
                <w:szCs w:val="24"/>
              </w:rPr>
            </w:pPr>
            <w:r w:rsidRPr="00146A4C">
              <w:rPr>
                <w:rFonts w:ascii="Times New Roman" w:eastAsia="宋体" w:hAnsi="Times New Roman"/>
                <w:snapToGrid w:val="0"/>
                <w:sz w:val="24"/>
                <w:szCs w:val="24"/>
                <w:highlight w:val="lightGray"/>
              </w:rPr>
              <w:t xml:space="preserve">The </w:t>
            </w:r>
            <w:r w:rsidRPr="00146A4C">
              <w:rPr>
                <w:rFonts w:ascii="Times New Roman" w:eastAsia="宋体" w:hAnsi="Times New Roman" w:hint="eastAsia"/>
                <w:snapToGrid w:val="0"/>
                <w:sz w:val="24"/>
                <w:szCs w:val="24"/>
                <w:highlight w:val="lightGray"/>
              </w:rPr>
              <w:t>negotiable</w:t>
            </w:r>
            <w:r w:rsidRPr="00146A4C">
              <w:rPr>
                <w:rFonts w:ascii="Times New Roman" w:eastAsia="宋体" w:hAnsi="Times New Roman"/>
                <w:snapToGrid w:val="0"/>
                <w:sz w:val="24"/>
                <w:szCs w:val="24"/>
                <w:highlight w:val="lightGray"/>
              </w:rPr>
              <w:t xml:space="preserve"> securities may be disposed of by auction, regular sale </w:t>
            </w:r>
            <w:r w:rsidRPr="00146A4C">
              <w:rPr>
                <w:rFonts w:ascii="Times New Roman" w:eastAsia="宋体" w:hAnsi="Times New Roman" w:hint="eastAsia"/>
                <w:snapToGrid w:val="0"/>
                <w:sz w:val="24"/>
                <w:szCs w:val="24"/>
                <w:highlight w:val="lightGray"/>
              </w:rPr>
              <w:t>or</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negotiable</w:t>
            </w:r>
            <w:r w:rsidRPr="00146A4C">
              <w:rPr>
                <w:rFonts w:ascii="Times New Roman" w:eastAsia="宋体" w:hAnsi="Times New Roman"/>
                <w:snapToGrid w:val="0"/>
                <w:sz w:val="24"/>
                <w:szCs w:val="24"/>
                <w:highlight w:val="lightGray"/>
              </w:rPr>
              <w:t xml:space="preserve"> sa</w:t>
            </w:r>
            <w:r w:rsidRPr="00146A4C">
              <w:rPr>
                <w:rFonts w:ascii="Calibri" w:eastAsia="宋体" w:hAnsi="Calibri" w:hint="eastAsia"/>
                <w:sz w:val="24"/>
                <w:szCs w:val="24"/>
                <w:highlight w:val="lightGray"/>
              </w:rPr>
              <w:t>l</w:t>
            </w:r>
            <w:r w:rsidRPr="00146A4C">
              <w:rPr>
                <w:rFonts w:ascii="Times New Roman" w:eastAsia="宋体" w:hAnsi="Times New Roman"/>
                <w:snapToGrid w:val="0"/>
                <w:sz w:val="24"/>
                <w:szCs w:val="24"/>
                <w:highlight w:val="lightGray"/>
              </w:rPr>
              <w:t xml:space="preserve">e, etc. The Exchange may determine the method of disposal based on the particular circumstances. The specific </w:t>
            </w:r>
            <w:r w:rsidRPr="00146A4C">
              <w:rPr>
                <w:rFonts w:ascii="Times New Roman" w:eastAsia="宋体" w:hAnsi="Times New Roman" w:hint="eastAsia"/>
                <w:snapToGrid w:val="0"/>
                <w:sz w:val="24"/>
                <w:szCs w:val="24"/>
                <w:highlight w:val="lightGray"/>
              </w:rPr>
              <w:t>disposal</w:t>
            </w:r>
            <w:r w:rsidRPr="00146A4C">
              <w:rPr>
                <w:rFonts w:ascii="Times New Roman" w:eastAsia="宋体" w:hAnsi="Times New Roman"/>
                <w:snapToGrid w:val="0"/>
                <w:sz w:val="24"/>
                <w:szCs w:val="24"/>
                <w:highlight w:val="lightGray"/>
              </w:rPr>
              <w:t xml:space="preserve"> shall be conducted by the Exchange itself or by the depository entrusted by the Exchange</w:t>
            </w:r>
            <w:r w:rsidRPr="00146A4C">
              <w:rPr>
                <w:rFonts w:ascii="Times New Roman" w:eastAsia="宋体" w:hAnsi="Times New Roman" w:hint="eastAsia"/>
                <w:snapToGrid w:val="0"/>
                <w:sz w:val="24"/>
                <w:szCs w:val="24"/>
                <w:highlight w:val="lightGray"/>
              </w:rPr>
              <w:t xml:space="preserve"> </w:t>
            </w:r>
            <w:r w:rsidRPr="00146A4C">
              <w:rPr>
                <w:rFonts w:ascii="Times New Roman" w:eastAsia="宋体" w:hAnsi="Times New Roman"/>
                <w:snapToGrid w:val="0"/>
                <w:sz w:val="24"/>
                <w:szCs w:val="24"/>
                <w:highlight w:val="lightGray"/>
              </w:rPr>
              <w:t>in accordance with pertinent rules.</w:t>
            </w:r>
          </w:p>
          <w:p w:rsidR="00146A4C" w:rsidRPr="00146A4C" w:rsidRDefault="00146A4C" w:rsidP="00146A4C">
            <w:pPr>
              <w:autoSpaceDE w:val="0"/>
              <w:autoSpaceDN w:val="0"/>
              <w:adjustRightInd w:val="0"/>
              <w:snapToGrid w:val="0"/>
              <w:spacing w:before="200" w:line="288" w:lineRule="auto"/>
              <w:rPr>
                <w:rFonts w:ascii="Times New Roman" w:eastAsia="宋体" w:hAnsi="Times New Roman"/>
                <w:snapToGrid w:val="0"/>
                <w:sz w:val="24"/>
                <w:szCs w:val="24"/>
              </w:rPr>
            </w:pPr>
            <w:r w:rsidRPr="00146A4C">
              <w:rPr>
                <w:rFonts w:ascii="Times New Roman" w:eastAsia="宋体" w:hAnsi="Times New Roman"/>
                <w:snapToGrid w:val="0"/>
                <w:sz w:val="24"/>
                <w:szCs w:val="24"/>
                <w:highlight w:val="lightGray"/>
              </w:rPr>
              <w:t xml:space="preserve">If the </w:t>
            </w:r>
            <w:r w:rsidRPr="00146A4C">
              <w:rPr>
                <w:rFonts w:ascii="Times New Roman" w:eastAsia="宋体" w:hAnsi="Times New Roman" w:hint="eastAsia"/>
                <w:snapToGrid w:val="0"/>
                <w:sz w:val="24"/>
                <w:szCs w:val="24"/>
                <w:highlight w:val="lightGray"/>
              </w:rPr>
              <w:t>negotiable</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securities</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are</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disposed</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of</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by</w:t>
            </w:r>
            <w:r w:rsidRPr="00146A4C">
              <w:rPr>
                <w:rFonts w:ascii="Times New Roman" w:eastAsia="宋体" w:hAnsi="Times New Roman"/>
                <w:snapToGrid w:val="0"/>
                <w:sz w:val="24"/>
                <w:szCs w:val="24"/>
                <w:highlight w:val="lightGray"/>
              </w:rPr>
              <w:t xml:space="preserve"> auction, sale </w:t>
            </w:r>
            <w:r w:rsidRPr="00146A4C">
              <w:rPr>
                <w:rFonts w:ascii="Times New Roman" w:eastAsia="宋体" w:hAnsi="Times New Roman" w:hint="eastAsia"/>
                <w:snapToGrid w:val="0"/>
                <w:sz w:val="24"/>
                <w:szCs w:val="24"/>
                <w:highlight w:val="lightGray"/>
              </w:rPr>
              <w:t>or</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other</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public</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disposal</w:t>
            </w:r>
            <w:r w:rsidRPr="00146A4C">
              <w:rPr>
                <w:rFonts w:ascii="Times New Roman" w:eastAsia="宋体" w:hAnsi="Times New Roman"/>
                <w:snapToGrid w:val="0"/>
                <w:sz w:val="24"/>
                <w:szCs w:val="24"/>
                <w:highlight w:val="lightGray"/>
              </w:rPr>
              <w:t xml:space="preserve"> </w:t>
            </w:r>
            <w:r w:rsidRPr="00146A4C">
              <w:rPr>
                <w:rFonts w:ascii="Times New Roman" w:eastAsia="宋体" w:hAnsi="Times New Roman" w:hint="eastAsia"/>
                <w:snapToGrid w:val="0"/>
                <w:sz w:val="24"/>
                <w:szCs w:val="24"/>
                <w:highlight w:val="lightGray"/>
              </w:rPr>
              <w:t>methods</w:t>
            </w:r>
            <w:r w:rsidRPr="00146A4C">
              <w:rPr>
                <w:rFonts w:ascii="Times New Roman" w:eastAsia="宋体" w:hAnsi="Times New Roman"/>
                <w:snapToGrid w:val="0"/>
                <w:sz w:val="24"/>
                <w:szCs w:val="24"/>
                <w:highlight w:val="lightGray"/>
              </w:rPr>
              <w:t xml:space="preserve">, the Exchange may announce all </w:t>
            </w:r>
            <w:r w:rsidRPr="00146A4C">
              <w:rPr>
                <w:rFonts w:ascii="Times New Roman" w:eastAsia="宋体" w:hAnsi="Times New Roman"/>
                <w:snapToGrid w:val="0"/>
                <w:sz w:val="24"/>
                <w:szCs w:val="24"/>
                <w:highlight w:val="lightGray"/>
              </w:rPr>
              <w:lastRenderedPageBreak/>
              <w:t>the negotiable securities deposited in the Exchange by the Members, and the market participants shall submit their subscription intentions according to the announced negotiable securities.</w:t>
            </w:r>
            <w:bookmarkEnd w:id="2"/>
          </w:p>
        </w:tc>
      </w:tr>
    </w:tbl>
    <w:p w:rsidR="00146A4C" w:rsidRPr="00146A4C" w:rsidRDefault="00146A4C" w:rsidP="00146A4C">
      <w:pPr>
        <w:widowControl/>
        <w:adjustRightInd w:val="0"/>
        <w:snapToGrid w:val="0"/>
        <w:spacing w:before="200" w:line="288" w:lineRule="auto"/>
        <w:outlineLvl w:val="0"/>
        <w:rPr>
          <w:rFonts w:ascii="仿宋_GB2312" w:eastAsia="仿宋_GB2312" w:hAnsi="Calibri"/>
        </w:rPr>
      </w:pPr>
    </w:p>
    <w:p w:rsidR="00697612" w:rsidRPr="00146A4C" w:rsidRDefault="00697612"/>
    <w:sectPr w:rsidR="00697612" w:rsidRPr="00146A4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A4C" w:rsidRDefault="00146A4C" w:rsidP="00146A4C">
      <w:r>
        <w:separator/>
      </w:r>
    </w:p>
  </w:endnote>
  <w:endnote w:type="continuationSeparator" w:id="0">
    <w:p w:rsidR="00146A4C" w:rsidRDefault="00146A4C" w:rsidP="001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altName w:val="微软雅黑"/>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998" w:rsidRDefault="00146A4C">
    <w:pPr>
      <w:pStyle w:val="a7"/>
      <w:jc w:val="center"/>
      <w:rPr>
        <w:sz w:val="24"/>
        <w:szCs w:val="24"/>
      </w:rPr>
    </w:pPr>
    <w:r>
      <w:rPr>
        <w:sz w:val="24"/>
        <w:szCs w:val="24"/>
      </w:rPr>
      <w:fldChar w:fldCharType="begin"/>
    </w:r>
    <w:r>
      <w:rPr>
        <w:sz w:val="24"/>
        <w:szCs w:val="24"/>
      </w:rPr>
      <w:instrText>PAGE   \* MERGEFORMAT</w:instrText>
    </w:r>
    <w:r>
      <w:rPr>
        <w:sz w:val="24"/>
        <w:szCs w:val="24"/>
      </w:rPr>
      <w:fldChar w:fldCharType="separate"/>
    </w:r>
    <w:r w:rsidRPr="00146A4C">
      <w:rPr>
        <w:noProof/>
        <w:sz w:val="24"/>
        <w:szCs w:val="24"/>
        <w:lang w:val="zh-CN"/>
      </w:rPr>
      <w:t>-</w:t>
    </w:r>
    <w:r>
      <w:rPr>
        <w:noProof/>
        <w:sz w:val="24"/>
        <w:szCs w:val="24"/>
      </w:rPr>
      <w:t xml:space="preserve"> 1 -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A4C" w:rsidRDefault="00146A4C" w:rsidP="00146A4C">
      <w:r>
        <w:separator/>
      </w:r>
    </w:p>
  </w:footnote>
  <w:footnote w:type="continuationSeparator" w:id="0">
    <w:p w:rsidR="00146A4C" w:rsidRDefault="00146A4C" w:rsidP="0014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1B"/>
    <w:rsid w:val="00146A4C"/>
    <w:rsid w:val="002168EB"/>
    <w:rsid w:val="004E021B"/>
    <w:rsid w:val="00697612"/>
    <w:rsid w:val="0078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67E830-F488-4907-AA8A-BADBAAA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3A"/>
    <w:pPr>
      <w:widowControl w:val="0"/>
      <w:jc w:val="both"/>
    </w:pPr>
    <w:rPr>
      <w:rFonts w:ascii="等线" w:eastAsia="等线" w:hAnsi="等线"/>
      <w:kern w:val="2"/>
      <w:sz w:val="21"/>
      <w:szCs w:val="22"/>
    </w:rPr>
  </w:style>
  <w:style w:type="paragraph" w:styleId="2">
    <w:name w:val="heading 2"/>
    <w:basedOn w:val="a"/>
    <w:next w:val="a"/>
    <w:link w:val="20"/>
    <w:uiPriority w:val="9"/>
    <w:qFormat/>
    <w:rsid w:val="0078133A"/>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
    <w:name w:val="div"/>
    <w:basedOn w:val="a"/>
    <w:qFormat/>
    <w:rsid w:val="0078133A"/>
    <w:pPr>
      <w:textAlignment w:val="baseline"/>
    </w:pPr>
    <w:rPr>
      <w:sz w:val="24"/>
      <w:szCs w:val="24"/>
    </w:rPr>
  </w:style>
  <w:style w:type="character" w:customStyle="1" w:styleId="fulltext-wrapnavtiao">
    <w:name w:val="fulltext-wrap_navtiao"/>
    <w:qFormat/>
    <w:rsid w:val="0078133A"/>
    <w:rPr>
      <w:b/>
      <w:bCs/>
    </w:rPr>
  </w:style>
  <w:style w:type="paragraph" w:customStyle="1" w:styleId="fulltext-wraptitle">
    <w:name w:val="fulltext-wrap_title"/>
    <w:basedOn w:val="a"/>
    <w:qFormat/>
    <w:rsid w:val="0078133A"/>
    <w:pPr>
      <w:jc w:val="center"/>
    </w:pPr>
    <w:rPr>
      <w:sz w:val="30"/>
      <w:szCs w:val="30"/>
    </w:rPr>
  </w:style>
  <w:style w:type="character" w:customStyle="1" w:styleId="fulltext-wrapfulltexta">
    <w:name w:val="fulltext-wrap_fulltext_a"/>
    <w:qFormat/>
    <w:rsid w:val="0078133A"/>
    <w:rPr>
      <w:color w:val="218FC4"/>
    </w:rPr>
  </w:style>
  <w:style w:type="character" w:customStyle="1" w:styleId="20">
    <w:name w:val="标题 2 字符"/>
    <w:basedOn w:val="a0"/>
    <w:link w:val="2"/>
    <w:uiPriority w:val="9"/>
    <w:rsid w:val="0078133A"/>
    <w:rPr>
      <w:rFonts w:ascii="宋体" w:hAnsi="宋体"/>
      <w:b/>
      <w:sz w:val="36"/>
      <w:szCs w:val="36"/>
    </w:rPr>
  </w:style>
  <w:style w:type="paragraph" w:styleId="a3">
    <w:name w:val="annotation text"/>
    <w:basedOn w:val="a"/>
    <w:link w:val="a4"/>
    <w:uiPriority w:val="99"/>
    <w:unhideWhenUsed/>
    <w:qFormat/>
    <w:rsid w:val="0078133A"/>
    <w:pPr>
      <w:jc w:val="left"/>
    </w:pPr>
    <w:rPr>
      <w:rFonts w:ascii="Times New Roman" w:eastAsia="宋体" w:hAnsi="Times New Roman"/>
      <w:kern w:val="0"/>
      <w:sz w:val="20"/>
      <w:szCs w:val="20"/>
    </w:rPr>
  </w:style>
  <w:style w:type="character" w:customStyle="1" w:styleId="a4">
    <w:name w:val="批注文字 字符"/>
    <w:link w:val="a3"/>
    <w:uiPriority w:val="99"/>
    <w:qFormat/>
    <w:rsid w:val="0078133A"/>
  </w:style>
  <w:style w:type="paragraph" w:styleId="a5">
    <w:name w:val="header"/>
    <w:basedOn w:val="a"/>
    <w:link w:val="a6"/>
    <w:uiPriority w:val="99"/>
    <w:unhideWhenUsed/>
    <w:qFormat/>
    <w:rsid w:val="0078133A"/>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character" w:customStyle="1" w:styleId="a6">
    <w:name w:val="页眉 字符"/>
    <w:link w:val="a5"/>
    <w:uiPriority w:val="99"/>
    <w:qFormat/>
    <w:rsid w:val="0078133A"/>
    <w:rPr>
      <w:sz w:val="18"/>
      <w:szCs w:val="18"/>
    </w:rPr>
  </w:style>
  <w:style w:type="paragraph" w:styleId="a7">
    <w:name w:val="footer"/>
    <w:basedOn w:val="a"/>
    <w:link w:val="a8"/>
    <w:uiPriority w:val="99"/>
    <w:unhideWhenUsed/>
    <w:qFormat/>
    <w:rsid w:val="0078133A"/>
    <w:pPr>
      <w:tabs>
        <w:tab w:val="center" w:pos="4153"/>
        <w:tab w:val="right" w:pos="8306"/>
      </w:tabs>
      <w:snapToGrid w:val="0"/>
      <w:jc w:val="left"/>
    </w:pPr>
    <w:rPr>
      <w:rFonts w:ascii="Times New Roman" w:eastAsia="宋体" w:hAnsi="Times New Roman"/>
      <w:kern w:val="0"/>
      <w:sz w:val="18"/>
      <w:szCs w:val="18"/>
    </w:rPr>
  </w:style>
  <w:style w:type="character" w:customStyle="1" w:styleId="a8">
    <w:name w:val="页脚 字符"/>
    <w:link w:val="a7"/>
    <w:uiPriority w:val="99"/>
    <w:qFormat/>
    <w:rsid w:val="0078133A"/>
    <w:rPr>
      <w:sz w:val="18"/>
      <w:szCs w:val="18"/>
    </w:rPr>
  </w:style>
  <w:style w:type="character" w:styleId="a9">
    <w:name w:val="annotation reference"/>
    <w:uiPriority w:val="99"/>
    <w:unhideWhenUsed/>
    <w:qFormat/>
    <w:rsid w:val="0078133A"/>
    <w:rPr>
      <w:sz w:val="21"/>
      <w:szCs w:val="21"/>
    </w:rPr>
  </w:style>
  <w:style w:type="character" w:styleId="aa">
    <w:name w:val="Hyperlink"/>
    <w:uiPriority w:val="99"/>
    <w:unhideWhenUsed/>
    <w:qFormat/>
    <w:rsid w:val="0078133A"/>
    <w:rPr>
      <w:color w:val="0000FF"/>
      <w:u w:val="single"/>
    </w:rPr>
  </w:style>
  <w:style w:type="paragraph" w:styleId="ab">
    <w:name w:val="Normal (Web)"/>
    <w:basedOn w:val="a"/>
    <w:uiPriority w:val="99"/>
    <w:unhideWhenUsed/>
    <w:qFormat/>
    <w:rsid w:val="0078133A"/>
    <w:pPr>
      <w:spacing w:before="100" w:beforeAutospacing="1" w:after="100" w:afterAutospacing="1"/>
      <w:jc w:val="left"/>
    </w:pPr>
    <w:rPr>
      <w:kern w:val="0"/>
      <w:sz w:val="24"/>
    </w:rPr>
  </w:style>
  <w:style w:type="paragraph" w:styleId="HTML">
    <w:name w:val="HTML Preformatted"/>
    <w:basedOn w:val="a"/>
    <w:link w:val="HTML0"/>
    <w:uiPriority w:val="99"/>
    <w:unhideWhenUsed/>
    <w:qFormat/>
    <w:rsid w:val="0078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character" w:customStyle="1" w:styleId="HTML0">
    <w:name w:val="HTML 预设格式 字符"/>
    <w:basedOn w:val="a0"/>
    <w:link w:val="HTML"/>
    <w:uiPriority w:val="99"/>
    <w:rsid w:val="0078133A"/>
    <w:rPr>
      <w:rFonts w:ascii="宋体" w:hAnsi="宋体"/>
      <w:sz w:val="24"/>
      <w:szCs w:val="24"/>
    </w:rPr>
  </w:style>
  <w:style w:type="paragraph" w:styleId="ac">
    <w:name w:val="annotation subject"/>
    <w:basedOn w:val="a3"/>
    <w:next w:val="a3"/>
    <w:link w:val="ad"/>
    <w:uiPriority w:val="99"/>
    <w:unhideWhenUsed/>
    <w:qFormat/>
    <w:rsid w:val="0078133A"/>
    <w:rPr>
      <w:b/>
      <w:bCs/>
    </w:rPr>
  </w:style>
  <w:style w:type="character" w:customStyle="1" w:styleId="ad">
    <w:name w:val="批注主题 字符"/>
    <w:link w:val="ac"/>
    <w:uiPriority w:val="99"/>
    <w:qFormat/>
    <w:rsid w:val="0078133A"/>
    <w:rPr>
      <w:b/>
      <w:bCs/>
    </w:rPr>
  </w:style>
  <w:style w:type="paragraph" w:styleId="ae">
    <w:name w:val="Balloon Text"/>
    <w:basedOn w:val="a"/>
    <w:link w:val="af"/>
    <w:uiPriority w:val="99"/>
    <w:unhideWhenUsed/>
    <w:qFormat/>
    <w:rsid w:val="0078133A"/>
    <w:rPr>
      <w:rFonts w:ascii="Times New Roman" w:eastAsia="宋体" w:hAnsi="Times New Roman"/>
      <w:kern w:val="0"/>
      <w:sz w:val="18"/>
      <w:szCs w:val="18"/>
    </w:rPr>
  </w:style>
  <w:style w:type="character" w:customStyle="1" w:styleId="af">
    <w:name w:val="批注框文本 字符"/>
    <w:link w:val="ae"/>
    <w:uiPriority w:val="99"/>
    <w:qFormat/>
    <w:rsid w:val="007813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2023-09-06T07:12:00Z</dcterms:created>
  <dcterms:modified xsi:type="dcterms:W3CDTF">2023-09-06T07:13:00Z</dcterms:modified>
</cp:coreProperties>
</file>