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2E5" w:rsidRPr="003C50E8" w:rsidRDefault="001C32E5" w:rsidP="001C32E5">
      <w:pPr>
        <w:snapToGrid w:val="0"/>
        <w:spacing w:before="200" w:line="288" w:lineRule="auto"/>
        <w:rPr>
          <w:rFonts w:ascii="Times New Roman" w:eastAsia="黑体" w:hAnsi="Times New Roman" w:cs="Times New Roman"/>
          <w:sz w:val="24"/>
          <w:szCs w:val="24"/>
        </w:rPr>
      </w:pPr>
      <w:r w:rsidRPr="003C50E8">
        <w:rPr>
          <w:rFonts w:ascii="Times New Roman" w:eastAsia="黑体" w:hAnsi="Times New Roman" w:cs="Times New Roman"/>
          <w:sz w:val="24"/>
          <w:szCs w:val="24"/>
        </w:rPr>
        <w:t xml:space="preserve">Attachment </w:t>
      </w:r>
      <w:bookmarkStart w:id="0" w:name="_GoBack"/>
      <w:bookmarkEnd w:id="0"/>
      <w:r w:rsidRPr="003C50E8">
        <w:rPr>
          <w:rFonts w:ascii="Times New Roman" w:eastAsia="黑体" w:hAnsi="Times New Roman" w:cs="Times New Roman"/>
          <w:sz w:val="24"/>
          <w:szCs w:val="24"/>
        </w:rPr>
        <w:t>2:</w:t>
      </w:r>
    </w:p>
    <w:p w:rsidR="001C32E5" w:rsidRPr="003C50E8" w:rsidRDefault="001C32E5" w:rsidP="001C32E5">
      <w:pPr>
        <w:snapToGrid w:val="0"/>
        <w:spacing w:before="200" w:line="288" w:lineRule="auto"/>
        <w:jc w:val="center"/>
        <w:rPr>
          <w:rFonts w:ascii="Times New Roman" w:eastAsia="宋体" w:hAnsi="Times New Roman" w:cs="Times New Roman"/>
          <w:b/>
          <w:bCs/>
          <w:sz w:val="24"/>
          <w:szCs w:val="24"/>
        </w:rPr>
      </w:pPr>
      <w:r w:rsidRPr="003C50E8">
        <w:rPr>
          <w:rFonts w:ascii="Times New Roman" w:eastAsia="宋体" w:hAnsi="Times New Roman" w:cs="Times New Roman"/>
          <w:b/>
          <w:bCs/>
          <w:sz w:val="24"/>
          <w:szCs w:val="24"/>
        </w:rPr>
        <w:t>Comparison Table of the Amendments to Options Contracts</w:t>
      </w:r>
      <w:r>
        <w:rPr>
          <w:rStyle w:val="a5"/>
          <w:rFonts w:ascii="Times New Roman" w:eastAsia="宋体" w:hAnsi="Times New Roman" w:cs="Times New Roman"/>
          <w:b/>
          <w:bCs/>
          <w:sz w:val="24"/>
          <w:szCs w:val="24"/>
        </w:rPr>
        <w:footnoteReference w:id="1"/>
      </w:r>
    </w:p>
    <w:p w:rsidR="001C32E5" w:rsidRPr="003C50E8" w:rsidRDefault="001C32E5" w:rsidP="001C32E5">
      <w:pPr>
        <w:snapToGrid w:val="0"/>
        <w:spacing w:before="200" w:line="288" w:lineRule="auto"/>
        <w:jc w:val="center"/>
        <w:rPr>
          <w:rFonts w:ascii="Times New Roman" w:eastAsia="宋体" w:hAnsi="Times New Roman" w:cs="Times New Roman"/>
          <w:b/>
          <w:bCs/>
          <w:sz w:val="24"/>
          <w:szCs w:val="24"/>
        </w:rPr>
      </w:pPr>
      <w:r w:rsidRPr="003C50E8">
        <w:rPr>
          <w:rFonts w:ascii="Times New Roman" w:eastAsia="宋体" w:hAnsi="Times New Roman" w:cs="Times New Roman"/>
          <w:b/>
          <w:bCs/>
          <w:sz w:val="24"/>
          <w:szCs w:val="24"/>
        </w:rPr>
        <w:t xml:space="preserve"> </w:t>
      </w:r>
    </w:p>
    <w:tbl>
      <w:tblPr>
        <w:tblW w:w="11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7"/>
        <w:gridCol w:w="6115"/>
      </w:tblGrid>
      <w:tr w:rsidR="001C32E5" w:rsidRPr="003C50E8" w:rsidTr="00A06F30">
        <w:trPr>
          <w:jc w:val="center"/>
        </w:trPr>
        <w:tc>
          <w:tcPr>
            <w:tcW w:w="4897" w:type="dxa"/>
            <w:tcBorders>
              <w:top w:val="single" w:sz="4" w:space="0" w:color="000000"/>
              <w:left w:val="single" w:sz="4" w:space="0" w:color="000000"/>
              <w:bottom w:val="single" w:sz="4" w:space="0" w:color="000000"/>
              <w:right w:val="single" w:sz="4" w:space="0" w:color="000000"/>
            </w:tcBorders>
            <w:hideMark/>
          </w:tcPr>
          <w:p w:rsidR="001C32E5" w:rsidRPr="003C50E8" w:rsidRDefault="001C32E5" w:rsidP="00A06F30">
            <w:pPr>
              <w:snapToGrid w:val="0"/>
              <w:spacing w:before="200" w:line="288" w:lineRule="auto"/>
              <w:jc w:val="center"/>
              <w:rPr>
                <w:rFonts w:ascii="Times New Roman" w:eastAsia="仿宋_GB2312" w:hAnsi="Times New Roman" w:cs="Times New Roman"/>
                <w:b/>
                <w:bCs/>
                <w:sz w:val="24"/>
                <w:szCs w:val="24"/>
              </w:rPr>
            </w:pPr>
            <w:r w:rsidRPr="003C50E8">
              <w:rPr>
                <w:rFonts w:ascii="Times New Roman" w:eastAsia="仿宋_GB2312" w:hAnsi="Times New Roman" w:cs="Times New Roman"/>
                <w:b/>
                <w:bCs/>
                <w:sz w:val="24"/>
                <w:szCs w:val="24"/>
              </w:rPr>
              <w:t>Original Articles</w:t>
            </w:r>
          </w:p>
        </w:tc>
        <w:tc>
          <w:tcPr>
            <w:tcW w:w="6115" w:type="dxa"/>
            <w:tcBorders>
              <w:top w:val="single" w:sz="4" w:space="0" w:color="000000"/>
              <w:left w:val="nil"/>
              <w:bottom w:val="single" w:sz="4" w:space="0" w:color="000000"/>
              <w:right w:val="single" w:sz="4" w:space="0" w:color="000000"/>
            </w:tcBorders>
            <w:hideMark/>
          </w:tcPr>
          <w:p w:rsidR="001C32E5" w:rsidRPr="003C50E8" w:rsidRDefault="001C32E5" w:rsidP="00A06F30">
            <w:pPr>
              <w:snapToGrid w:val="0"/>
              <w:spacing w:before="200" w:line="288" w:lineRule="auto"/>
              <w:jc w:val="center"/>
              <w:rPr>
                <w:rFonts w:ascii="Times New Roman" w:eastAsia="仿宋_GB2312" w:hAnsi="Times New Roman" w:cs="Times New Roman"/>
                <w:b/>
                <w:bCs/>
                <w:sz w:val="24"/>
                <w:szCs w:val="24"/>
              </w:rPr>
            </w:pPr>
            <w:r w:rsidRPr="003C50E8">
              <w:rPr>
                <w:rFonts w:ascii="Times New Roman" w:eastAsia="仿宋_GB2312" w:hAnsi="Times New Roman" w:cs="Times New Roman"/>
                <w:b/>
                <w:bCs/>
                <w:sz w:val="24"/>
                <w:szCs w:val="24"/>
              </w:rPr>
              <w:t>Amended Articles</w:t>
            </w:r>
          </w:p>
        </w:tc>
      </w:tr>
      <w:tr w:rsidR="001C32E5" w:rsidRPr="003C50E8" w:rsidTr="00A06F30">
        <w:trPr>
          <w:trHeight w:val="2772"/>
          <w:jc w:val="center"/>
        </w:trPr>
        <w:tc>
          <w:tcPr>
            <w:tcW w:w="4897" w:type="dxa"/>
            <w:tcBorders>
              <w:top w:val="single" w:sz="4" w:space="0" w:color="000000"/>
              <w:left w:val="single" w:sz="4" w:space="0" w:color="000000"/>
              <w:bottom w:val="single" w:sz="4" w:space="0" w:color="000000"/>
              <w:right w:val="single" w:sz="4" w:space="0" w:color="000000"/>
            </w:tcBorders>
          </w:tcPr>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2640"/>
            </w:tblGrid>
            <w:tr w:rsidR="001C32E5" w:rsidRPr="003C50E8" w:rsidTr="00A06F30">
              <w:tc>
                <w:tcPr>
                  <w:tcW w:w="1954" w:type="dxa"/>
                  <w:tcBorders>
                    <w:top w:val="single" w:sz="4" w:space="0" w:color="000000"/>
                    <w:left w:val="single" w:sz="4" w:space="0" w:color="000000"/>
                    <w:bottom w:val="single" w:sz="4" w:space="0" w:color="000000"/>
                    <w:right w:val="single" w:sz="4" w:space="0" w:color="000000"/>
                  </w:tcBorders>
                  <w:vAlign w:val="center"/>
                  <w:hideMark/>
                </w:tcPr>
                <w:p w:rsidR="001C32E5" w:rsidRPr="003C50E8" w:rsidRDefault="001C32E5" w:rsidP="00A06F30">
                  <w:pPr>
                    <w:snapToGrid w:val="0"/>
                    <w:spacing w:before="200" w:line="288" w:lineRule="auto"/>
                    <w:jc w:val="center"/>
                    <w:rPr>
                      <w:rFonts w:ascii="Times New Roman" w:eastAsia="仿宋_GB2312" w:hAnsi="Times New Roman" w:cs="Times New Roman"/>
                      <w:sz w:val="24"/>
                      <w:szCs w:val="24"/>
                    </w:rPr>
                  </w:pPr>
                  <w:r w:rsidRPr="003C50E8">
                    <w:rPr>
                      <w:rFonts w:ascii="Times New Roman" w:eastAsia="仿宋_GB2312" w:hAnsi="Times New Roman" w:cs="Times New Roman"/>
                      <w:sz w:val="24"/>
                      <w:szCs w:val="24"/>
                    </w:rPr>
                    <w:t>Last Trading Day</w:t>
                  </w:r>
                </w:p>
              </w:tc>
              <w:tc>
                <w:tcPr>
                  <w:tcW w:w="2717" w:type="dxa"/>
                  <w:tcBorders>
                    <w:top w:val="single" w:sz="4" w:space="0" w:color="000000"/>
                    <w:left w:val="nil"/>
                    <w:bottom w:val="single" w:sz="4" w:space="0" w:color="000000"/>
                    <w:right w:val="single" w:sz="4" w:space="0" w:color="000000"/>
                  </w:tcBorders>
                  <w:vAlign w:val="center"/>
                  <w:hideMark/>
                </w:tcPr>
                <w:p w:rsidR="001C32E5" w:rsidRPr="003C50E8" w:rsidRDefault="001C32E5" w:rsidP="00A06F30">
                  <w:pPr>
                    <w:snapToGrid w:val="0"/>
                    <w:spacing w:before="200" w:line="288" w:lineRule="auto"/>
                    <w:rPr>
                      <w:rFonts w:ascii="Times New Roman" w:eastAsia="仿宋_GB2312" w:hAnsi="Times New Roman" w:cs="Times New Roman"/>
                      <w:sz w:val="24"/>
                      <w:szCs w:val="24"/>
                    </w:rPr>
                  </w:pPr>
                  <w:r w:rsidRPr="003C50E8">
                    <w:rPr>
                      <w:rFonts w:ascii="Times New Roman" w:eastAsia="仿宋_GB2312" w:hAnsi="Times New Roman" w:cs="Times New Roman"/>
                      <w:sz w:val="24"/>
                      <w:szCs w:val="24"/>
                    </w:rPr>
                    <w:t>The 5th trading day of the month immediately preceding the delivery month of the underlying futures contract</w:t>
                  </w:r>
                </w:p>
              </w:tc>
            </w:tr>
          </w:tbl>
          <w:p w:rsidR="001C32E5" w:rsidRPr="003C50E8" w:rsidRDefault="001C32E5" w:rsidP="00A06F30">
            <w:pPr>
              <w:snapToGrid w:val="0"/>
              <w:spacing w:before="200" w:line="288" w:lineRule="auto"/>
              <w:jc w:val="center"/>
              <w:rPr>
                <w:rFonts w:ascii="Times New Roman" w:eastAsia="仿宋_GB2312" w:hAnsi="Times New Roman" w:cs="Times New Roman"/>
                <w:b/>
                <w:bCs/>
                <w:sz w:val="24"/>
                <w:szCs w:val="24"/>
              </w:rPr>
            </w:pPr>
          </w:p>
        </w:tc>
        <w:tc>
          <w:tcPr>
            <w:tcW w:w="6115" w:type="dxa"/>
            <w:tcBorders>
              <w:top w:val="single" w:sz="4" w:space="0" w:color="000000"/>
              <w:left w:val="nil"/>
              <w:bottom w:val="single" w:sz="4" w:space="0" w:color="000000"/>
              <w:right w:val="singl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3"/>
              <w:gridCol w:w="3896"/>
            </w:tblGrid>
            <w:tr w:rsidR="001C32E5" w:rsidRPr="003C50E8" w:rsidTr="00A06F30">
              <w:tc>
                <w:tcPr>
                  <w:tcW w:w="2011" w:type="dxa"/>
                  <w:tcBorders>
                    <w:top w:val="single" w:sz="4" w:space="0" w:color="000000"/>
                    <w:left w:val="single" w:sz="4" w:space="0" w:color="000000"/>
                    <w:bottom w:val="single" w:sz="4" w:space="0" w:color="000000"/>
                    <w:right w:val="single" w:sz="4" w:space="0" w:color="000000"/>
                  </w:tcBorders>
                  <w:vAlign w:val="center"/>
                  <w:hideMark/>
                </w:tcPr>
                <w:p w:rsidR="001C32E5" w:rsidRPr="003C50E8" w:rsidRDefault="001C32E5" w:rsidP="00A06F30">
                  <w:pPr>
                    <w:snapToGrid w:val="0"/>
                    <w:spacing w:before="200" w:line="288" w:lineRule="auto"/>
                    <w:jc w:val="center"/>
                    <w:rPr>
                      <w:rFonts w:ascii="Times New Roman" w:eastAsia="仿宋_GB2312" w:hAnsi="Times New Roman" w:cs="Times New Roman"/>
                      <w:sz w:val="24"/>
                      <w:szCs w:val="24"/>
                    </w:rPr>
                  </w:pPr>
                  <w:r w:rsidRPr="003C50E8">
                    <w:rPr>
                      <w:rFonts w:ascii="Times New Roman" w:eastAsia="仿宋_GB2312" w:hAnsi="Times New Roman" w:cs="Times New Roman"/>
                      <w:sz w:val="24"/>
                      <w:szCs w:val="24"/>
                    </w:rPr>
                    <w:t>Last Trading Day</w:t>
                  </w:r>
                </w:p>
              </w:tc>
              <w:tc>
                <w:tcPr>
                  <w:tcW w:w="3941" w:type="dxa"/>
                  <w:tcBorders>
                    <w:top w:val="single" w:sz="4" w:space="0" w:color="000000"/>
                    <w:left w:val="nil"/>
                    <w:bottom w:val="single" w:sz="4" w:space="0" w:color="000000"/>
                    <w:right w:val="single" w:sz="4" w:space="0" w:color="000000"/>
                  </w:tcBorders>
                  <w:vAlign w:val="center"/>
                  <w:hideMark/>
                </w:tcPr>
                <w:p w:rsidR="001C32E5" w:rsidRPr="003C50E8" w:rsidRDefault="001C32E5" w:rsidP="00A06F30">
                  <w:pPr>
                    <w:snapToGrid w:val="0"/>
                    <w:spacing w:before="200" w:line="288" w:lineRule="auto"/>
                    <w:rPr>
                      <w:rFonts w:ascii="Times New Roman" w:eastAsia="仿宋_GB2312" w:hAnsi="Times New Roman" w:cs="Times New Roman"/>
                      <w:dstrike/>
                      <w:sz w:val="24"/>
                      <w:szCs w:val="24"/>
                    </w:rPr>
                  </w:pPr>
                  <w:r w:rsidRPr="003C50E8">
                    <w:rPr>
                      <w:rFonts w:ascii="Times New Roman" w:eastAsia="仿宋_GB2312" w:hAnsi="Times New Roman" w:cs="Times New Roman"/>
                      <w:sz w:val="24"/>
                      <w:szCs w:val="24"/>
                    </w:rPr>
                    <w:t xml:space="preserve">The </w:t>
                  </w:r>
                  <w:r w:rsidRPr="003C50E8">
                    <w:rPr>
                      <w:rFonts w:ascii="Times New Roman" w:eastAsia="仿宋_GB2312" w:hAnsi="Times New Roman" w:cs="Times New Roman"/>
                      <w:dstrike/>
                      <w:sz w:val="24"/>
                      <w:szCs w:val="24"/>
                    </w:rPr>
                    <w:t>5</w:t>
                  </w:r>
                  <w:r w:rsidRPr="003C50E8">
                    <w:rPr>
                      <w:rFonts w:ascii="Times New Roman" w:eastAsia="仿宋_GB2312" w:hAnsi="Times New Roman" w:cs="Times New Roman"/>
                      <w:sz w:val="24"/>
                      <w:szCs w:val="24"/>
                      <w:shd w:val="pct15" w:color="auto" w:fill="FFFFFF"/>
                    </w:rPr>
                    <w:t>12</w:t>
                  </w:r>
                  <w:r w:rsidRPr="003C50E8">
                    <w:rPr>
                      <w:rFonts w:ascii="Times New Roman" w:eastAsia="仿宋_GB2312" w:hAnsi="Times New Roman" w:cs="Times New Roman"/>
                      <w:sz w:val="24"/>
                      <w:szCs w:val="24"/>
                    </w:rPr>
                    <w:t>th trading day of the month immediately preceding the delivery month of the underlying futures contract</w:t>
                  </w:r>
                  <w:r w:rsidRPr="006050B0">
                    <w:rPr>
                      <w:rFonts w:ascii="Times New Roman" w:eastAsia="仿宋_GB2312" w:hAnsi="Times New Roman" w:cs="Times New Roman"/>
                      <w:sz w:val="24"/>
                      <w:szCs w:val="24"/>
                      <w:shd w:val="pct15" w:color="auto" w:fill="FFFFFF"/>
                    </w:rPr>
                    <w:t xml:space="preserve">, </w:t>
                  </w:r>
                  <w:r w:rsidRPr="003C50E8">
                    <w:rPr>
                      <w:rFonts w:ascii="Times New Roman" w:eastAsia="仿宋_GB2312" w:hAnsi="Times New Roman" w:cs="Times New Roman"/>
                      <w:sz w:val="24"/>
                      <w:szCs w:val="24"/>
                      <w:shd w:val="pct15" w:color="auto" w:fill="FFFFFF"/>
                    </w:rPr>
                    <w:t>DCE may adjust the last trading day according to national holidays</w:t>
                  </w:r>
                </w:p>
              </w:tc>
            </w:tr>
          </w:tbl>
          <w:p w:rsidR="001C32E5" w:rsidRPr="003C50E8" w:rsidRDefault="001C32E5" w:rsidP="00A06F30">
            <w:pPr>
              <w:snapToGrid w:val="0"/>
              <w:spacing w:before="200" w:line="288" w:lineRule="auto"/>
              <w:jc w:val="center"/>
              <w:rPr>
                <w:rFonts w:ascii="Times New Roman" w:eastAsia="仿宋_GB2312" w:hAnsi="Times New Roman" w:cs="Times New Roman"/>
                <w:b/>
                <w:bCs/>
                <w:sz w:val="24"/>
                <w:szCs w:val="24"/>
              </w:rPr>
            </w:pPr>
          </w:p>
        </w:tc>
      </w:tr>
    </w:tbl>
    <w:p w:rsidR="001C32E5" w:rsidRPr="003C50E8" w:rsidRDefault="001C32E5" w:rsidP="001C32E5">
      <w:pPr>
        <w:snapToGrid w:val="0"/>
        <w:spacing w:before="200" w:line="288" w:lineRule="auto"/>
        <w:jc w:val="left"/>
        <w:rPr>
          <w:rFonts w:ascii="Times New Roman" w:eastAsia="仿宋_GB2312" w:hAnsi="Times New Roman" w:cs="Times New Roman"/>
          <w:sz w:val="24"/>
          <w:szCs w:val="24"/>
        </w:rPr>
      </w:pPr>
      <w:r w:rsidRPr="003C50E8">
        <w:rPr>
          <w:rFonts w:ascii="Times New Roman" w:eastAsia="仿宋_GB2312" w:hAnsi="Times New Roman" w:cs="Times New Roman"/>
          <w:sz w:val="24"/>
          <w:szCs w:val="24"/>
        </w:rPr>
        <w:t xml:space="preserve"> </w:t>
      </w:r>
    </w:p>
    <w:p w:rsidR="001C32E5" w:rsidRPr="003C50E8" w:rsidRDefault="001C32E5" w:rsidP="001C32E5">
      <w:pPr>
        <w:snapToGrid w:val="0"/>
        <w:spacing w:before="200" w:line="288" w:lineRule="auto"/>
        <w:jc w:val="left"/>
        <w:rPr>
          <w:rFonts w:ascii="Times New Roman" w:eastAsia="仿宋_GB2312" w:hAnsi="Times New Roman" w:cs="Times New Roman"/>
          <w:sz w:val="24"/>
          <w:szCs w:val="24"/>
        </w:rPr>
      </w:pPr>
      <w:r w:rsidRPr="003C50E8">
        <w:rPr>
          <w:rFonts w:ascii="Times New Roman" w:eastAsia="仿宋_GB2312" w:hAnsi="Times New Roman" w:cs="Times New Roman"/>
          <w:sz w:val="24"/>
          <w:szCs w:val="24"/>
        </w:rPr>
        <w:t xml:space="preserve"> </w:t>
      </w:r>
    </w:p>
    <w:p w:rsidR="001C32E5" w:rsidRPr="003C50E8" w:rsidRDefault="001C32E5" w:rsidP="001C32E5">
      <w:pPr>
        <w:snapToGrid w:val="0"/>
        <w:spacing w:before="200" w:line="288" w:lineRule="auto"/>
        <w:jc w:val="left"/>
        <w:rPr>
          <w:rFonts w:ascii="Times New Roman" w:eastAsia="仿宋_GB2312" w:hAnsi="Times New Roman" w:cs="Times New Roman"/>
          <w:sz w:val="24"/>
          <w:szCs w:val="24"/>
        </w:rPr>
      </w:pPr>
      <w:r w:rsidRPr="003C50E8">
        <w:rPr>
          <w:rFonts w:ascii="Times New Roman" w:eastAsia="仿宋_GB2312" w:hAnsi="Times New Roman" w:cs="Times New Roman"/>
          <w:sz w:val="24"/>
          <w:szCs w:val="24"/>
        </w:rPr>
        <w:t xml:space="preserve"> </w:t>
      </w:r>
    </w:p>
    <w:p w:rsidR="001C32E5" w:rsidRPr="003C50E8" w:rsidRDefault="001C32E5" w:rsidP="001C32E5">
      <w:pPr>
        <w:snapToGrid w:val="0"/>
        <w:spacing w:before="200" w:line="288" w:lineRule="auto"/>
        <w:jc w:val="left"/>
        <w:rPr>
          <w:rFonts w:ascii="Times New Roman" w:eastAsia="仿宋_GB2312" w:hAnsi="Times New Roman" w:cs="宋体"/>
          <w:sz w:val="24"/>
          <w:szCs w:val="24"/>
        </w:rPr>
      </w:pPr>
      <w:r w:rsidRPr="003C50E8">
        <w:rPr>
          <w:rFonts w:ascii="Times New Roman" w:eastAsia="仿宋_GB2312" w:hAnsi="Times New Roman" w:cs="宋体" w:hint="eastAsia"/>
          <w:sz w:val="24"/>
          <w:szCs w:val="24"/>
        </w:rPr>
        <w:t xml:space="preserve"> </w:t>
      </w:r>
    </w:p>
    <w:p w:rsidR="001C32E5" w:rsidRPr="003C50E8" w:rsidRDefault="001C32E5" w:rsidP="001C32E5">
      <w:pPr>
        <w:snapToGrid w:val="0"/>
        <w:spacing w:before="200" w:line="288" w:lineRule="auto"/>
        <w:rPr>
          <w:rFonts w:ascii="Times New Roman" w:eastAsia="仿宋_GB2312" w:hAnsi="Times New Roman" w:cs="宋体"/>
          <w:i/>
          <w:iCs/>
          <w:sz w:val="24"/>
          <w:szCs w:val="24"/>
        </w:rPr>
      </w:pPr>
      <w:r w:rsidRPr="003C50E8">
        <w:rPr>
          <w:rFonts w:ascii="Times New Roman" w:eastAsia="仿宋_GB2312" w:hAnsi="Times New Roman" w:cs="Times New Roman"/>
          <w:b/>
          <w:bCs/>
          <w:i/>
          <w:iCs/>
          <w:sz w:val="24"/>
          <w:szCs w:val="24"/>
        </w:rPr>
        <w:t>Disclaimer</w:t>
      </w:r>
      <w:r w:rsidRPr="003C50E8">
        <w:rPr>
          <w:rFonts w:ascii="Times New Roman" w:eastAsia="仿宋_GB2312" w:hAnsi="Times New Roman" w:cs="Times New Roman"/>
          <w:i/>
          <w:iCs/>
          <w:sz w:val="24"/>
          <w:szCs w:val="24"/>
        </w:rPr>
        <w:t>: 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p>
    <w:p w:rsidR="001C32E5" w:rsidRPr="003C50E8" w:rsidRDefault="001C32E5" w:rsidP="001C32E5"/>
    <w:p w:rsidR="00852B37" w:rsidRPr="001C32E5" w:rsidRDefault="00852B37" w:rsidP="001C32E5"/>
    <w:sectPr w:rsidR="00852B37" w:rsidRPr="001C32E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CB4" w:rsidRDefault="00210CB4" w:rsidP="00210CB4">
      <w:r>
        <w:separator/>
      </w:r>
    </w:p>
  </w:endnote>
  <w:endnote w:type="continuationSeparator" w:id="0">
    <w:p w:rsidR="00210CB4" w:rsidRDefault="00210CB4" w:rsidP="0021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201559"/>
      <w:docPartObj>
        <w:docPartGallery w:val="Page Numbers (Bottom of Page)"/>
        <w:docPartUnique/>
      </w:docPartObj>
    </w:sdtPr>
    <w:sdtEndPr/>
    <w:sdtContent>
      <w:p w:rsidR="00210CB4" w:rsidRDefault="00210CB4">
        <w:pPr>
          <w:pStyle w:val="a8"/>
          <w:jc w:val="center"/>
        </w:pPr>
        <w:r>
          <w:fldChar w:fldCharType="begin"/>
        </w:r>
        <w:r>
          <w:instrText>PAGE   \* MERGEFORMAT</w:instrText>
        </w:r>
        <w:r>
          <w:fldChar w:fldCharType="separate"/>
        </w:r>
        <w:r w:rsidR="001C32E5" w:rsidRPr="001C32E5">
          <w:rPr>
            <w:noProof/>
            <w:lang w:val="zh-CN"/>
          </w:rPr>
          <w:t>1</w:t>
        </w:r>
        <w:r>
          <w:fldChar w:fldCharType="end"/>
        </w:r>
      </w:p>
    </w:sdtContent>
  </w:sdt>
  <w:p w:rsidR="00210CB4" w:rsidRDefault="00210C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CB4" w:rsidRDefault="00210CB4" w:rsidP="00210CB4">
      <w:r>
        <w:separator/>
      </w:r>
    </w:p>
  </w:footnote>
  <w:footnote w:type="continuationSeparator" w:id="0">
    <w:p w:rsidR="00210CB4" w:rsidRDefault="00210CB4" w:rsidP="00210CB4">
      <w:r>
        <w:continuationSeparator/>
      </w:r>
    </w:p>
  </w:footnote>
  <w:footnote w:id="1">
    <w:p w:rsidR="001C32E5" w:rsidRDefault="001C32E5" w:rsidP="001C32E5">
      <w:pPr>
        <w:snapToGrid w:val="0"/>
        <w:rPr>
          <w:rFonts w:ascii="Times New Roman" w:eastAsia="宋体" w:hAnsi="Times New Roman"/>
        </w:rPr>
      </w:pPr>
      <w:r>
        <w:rPr>
          <w:rStyle w:val="a5"/>
        </w:rPr>
        <w:footnoteRef/>
      </w:r>
      <w:r>
        <w:rPr>
          <w:rFonts w:ascii="Times New Roman" w:eastAsia="仿宋_GB2312" w:hAnsi="Times New Roman" w:cs="Times New Roman"/>
        </w:rPr>
        <w:t xml:space="preserve">The specifications of all (13) types of options contracts of DCE shall be amended accordingly, including the </w:t>
      </w:r>
      <w:r>
        <w:rPr>
          <w:rFonts w:ascii="Times New Roman" w:eastAsia="仿宋_GB2312" w:hAnsi="Times New Roman" w:cs="Times New Roman"/>
          <w:i/>
          <w:iCs/>
        </w:rPr>
        <w:t>Soybean Meal Option Contract of Dalian Commodity Exchange</w:t>
      </w:r>
      <w:r>
        <w:rPr>
          <w:rFonts w:ascii="Times New Roman" w:eastAsia="仿宋_GB2312" w:hAnsi="Times New Roman" w:cs="Times New Roman"/>
        </w:rPr>
        <w:t xml:space="preserve">, </w:t>
      </w:r>
      <w:r>
        <w:rPr>
          <w:rFonts w:ascii="Times New Roman" w:eastAsia="仿宋_GB2312" w:hAnsi="Times New Roman" w:cs="Times New Roman"/>
          <w:i/>
          <w:iCs/>
        </w:rPr>
        <w:t>Corn Options Contract of Dalian Commodity Exchange</w:t>
      </w:r>
      <w:r>
        <w:rPr>
          <w:rFonts w:ascii="Times New Roman" w:eastAsia="仿宋_GB2312" w:hAnsi="Times New Roman" w:cs="Times New Roman"/>
        </w:rPr>
        <w:t xml:space="preserve">, </w:t>
      </w:r>
      <w:r>
        <w:rPr>
          <w:rFonts w:ascii="Times New Roman" w:eastAsia="仿宋_GB2312" w:hAnsi="Times New Roman" w:cs="Times New Roman"/>
          <w:i/>
          <w:iCs/>
        </w:rPr>
        <w:t>Iron Ore Options Contract of Dalian Commodity Exchange</w:t>
      </w:r>
      <w:r>
        <w:rPr>
          <w:rFonts w:ascii="Times New Roman" w:eastAsia="仿宋_GB2312" w:hAnsi="Times New Roman" w:cs="Times New Roman"/>
        </w:rPr>
        <w:t xml:space="preserve">, </w:t>
      </w:r>
      <w:r>
        <w:rPr>
          <w:rFonts w:ascii="Times New Roman" w:eastAsia="仿宋_GB2312" w:hAnsi="Times New Roman" w:cs="Times New Roman"/>
          <w:i/>
          <w:iCs/>
        </w:rPr>
        <w:t>Liquefied Petroleum Gas Options Contract of Dalian Commodity Exchange</w:t>
      </w:r>
      <w:r>
        <w:rPr>
          <w:rFonts w:ascii="Times New Roman" w:eastAsia="仿宋_GB2312" w:hAnsi="Times New Roman" w:cs="Times New Roman"/>
        </w:rPr>
        <w:t xml:space="preserve">, </w:t>
      </w:r>
      <w:r>
        <w:rPr>
          <w:rFonts w:ascii="Times New Roman" w:eastAsia="仿宋_GB2312" w:hAnsi="Times New Roman" w:cs="Times New Roman"/>
          <w:i/>
          <w:iCs/>
        </w:rPr>
        <w:t>Linear Low Density Polyethylene Options Contract of Dalian Commodity Exchange</w:t>
      </w:r>
      <w:r>
        <w:rPr>
          <w:rFonts w:ascii="Times New Roman" w:eastAsia="仿宋_GB2312" w:hAnsi="Times New Roman" w:cs="Times New Roman"/>
        </w:rPr>
        <w:t xml:space="preserve">, </w:t>
      </w:r>
      <w:r>
        <w:rPr>
          <w:rFonts w:ascii="Times New Roman" w:eastAsia="仿宋_GB2312" w:hAnsi="Times New Roman" w:cs="Times New Roman"/>
          <w:i/>
          <w:iCs/>
        </w:rPr>
        <w:t>Polyvinyl Chloride Options Contract of Dalian Commodity Exchange</w:t>
      </w:r>
      <w:r>
        <w:rPr>
          <w:rFonts w:ascii="Times New Roman" w:eastAsia="仿宋_GB2312" w:hAnsi="Times New Roman" w:cs="Times New Roman"/>
        </w:rPr>
        <w:t xml:space="preserve">, </w:t>
      </w:r>
      <w:r>
        <w:rPr>
          <w:rFonts w:ascii="Times New Roman" w:eastAsia="仿宋_GB2312" w:hAnsi="Times New Roman" w:cs="Times New Roman"/>
          <w:i/>
          <w:iCs/>
        </w:rPr>
        <w:t>Polypropylene Options Contract of Dalian Commodity Exchange</w:t>
      </w:r>
      <w:r>
        <w:rPr>
          <w:rFonts w:ascii="Times New Roman" w:eastAsia="仿宋_GB2312" w:hAnsi="Times New Roman" w:cs="Times New Roman"/>
        </w:rPr>
        <w:t xml:space="preserve">, </w:t>
      </w:r>
      <w:r>
        <w:rPr>
          <w:rFonts w:ascii="Times New Roman" w:eastAsia="仿宋_GB2312" w:hAnsi="Times New Roman" w:cs="Times New Roman"/>
          <w:i/>
          <w:iCs/>
        </w:rPr>
        <w:t xml:space="preserve">RBD Palm </w:t>
      </w:r>
      <w:proofErr w:type="spellStart"/>
      <w:r>
        <w:rPr>
          <w:rFonts w:ascii="Times New Roman" w:eastAsia="仿宋_GB2312" w:hAnsi="Times New Roman" w:cs="Times New Roman"/>
          <w:i/>
          <w:iCs/>
        </w:rPr>
        <w:t>Olein</w:t>
      </w:r>
      <w:proofErr w:type="spellEnd"/>
      <w:r>
        <w:rPr>
          <w:rFonts w:ascii="Times New Roman" w:eastAsia="仿宋_GB2312" w:hAnsi="Times New Roman" w:cs="Times New Roman"/>
          <w:i/>
          <w:iCs/>
        </w:rPr>
        <w:t xml:space="preserve"> Options Contract of Dalian Commodity Exchange</w:t>
      </w:r>
      <w:r>
        <w:rPr>
          <w:rFonts w:ascii="Times New Roman" w:eastAsia="仿宋_GB2312" w:hAnsi="Times New Roman" w:cs="Times New Roman"/>
        </w:rPr>
        <w:t xml:space="preserve">, </w:t>
      </w:r>
      <w:r>
        <w:rPr>
          <w:rFonts w:ascii="Times New Roman" w:eastAsia="仿宋_GB2312" w:hAnsi="Times New Roman" w:cs="Times New Roman"/>
          <w:i/>
          <w:iCs/>
        </w:rPr>
        <w:t>No.1 Soybean Options Contract of Dalian Commodity Exchange</w:t>
      </w:r>
      <w:r>
        <w:rPr>
          <w:rFonts w:ascii="Times New Roman" w:eastAsia="仿宋_GB2312" w:hAnsi="Times New Roman" w:cs="Times New Roman"/>
        </w:rPr>
        <w:t xml:space="preserve">, </w:t>
      </w:r>
      <w:r>
        <w:rPr>
          <w:rFonts w:ascii="Times New Roman" w:eastAsia="仿宋_GB2312" w:hAnsi="Times New Roman" w:cs="Times New Roman"/>
          <w:i/>
          <w:iCs/>
        </w:rPr>
        <w:t>No.2 Soybean Options Contract of Dalian Commodity Exchange</w:t>
      </w:r>
      <w:r>
        <w:rPr>
          <w:rFonts w:ascii="Times New Roman" w:eastAsia="仿宋_GB2312" w:hAnsi="Times New Roman" w:cs="Times New Roman"/>
        </w:rPr>
        <w:t xml:space="preserve">, </w:t>
      </w:r>
      <w:r>
        <w:rPr>
          <w:rFonts w:ascii="Times New Roman" w:eastAsia="仿宋_GB2312" w:hAnsi="Times New Roman" w:cs="Times New Roman"/>
          <w:i/>
          <w:iCs/>
        </w:rPr>
        <w:t>Soybean Oil Options Contract of Dalian Commodity Exchange</w:t>
      </w:r>
      <w:r>
        <w:rPr>
          <w:rFonts w:ascii="Times New Roman" w:eastAsia="仿宋_GB2312" w:hAnsi="Times New Roman" w:cs="Times New Roman"/>
        </w:rPr>
        <w:t xml:space="preserve">, </w:t>
      </w:r>
      <w:r>
        <w:rPr>
          <w:rFonts w:ascii="Times New Roman" w:eastAsia="仿宋_GB2312" w:hAnsi="Times New Roman" w:cs="Times New Roman"/>
          <w:i/>
          <w:iCs/>
        </w:rPr>
        <w:t>Ethylene Glycol Options Contract of Dalian Commodity Exchange</w:t>
      </w:r>
      <w:r>
        <w:rPr>
          <w:rFonts w:ascii="Times New Roman" w:eastAsia="仿宋_GB2312" w:hAnsi="Times New Roman" w:cs="Times New Roman"/>
        </w:rPr>
        <w:t xml:space="preserve">, </w:t>
      </w:r>
      <w:proofErr w:type="spellStart"/>
      <w:r>
        <w:rPr>
          <w:rFonts w:ascii="Times New Roman" w:eastAsia="仿宋_GB2312" w:hAnsi="Times New Roman" w:cs="Times New Roman"/>
          <w:i/>
          <w:iCs/>
        </w:rPr>
        <w:t>Ethenylbenzene</w:t>
      </w:r>
      <w:proofErr w:type="spellEnd"/>
      <w:r>
        <w:rPr>
          <w:rFonts w:ascii="Times New Roman" w:eastAsia="仿宋_GB2312" w:hAnsi="Times New Roman" w:cs="Times New Roman"/>
          <w:i/>
          <w:iCs/>
        </w:rPr>
        <w:t xml:space="preserve"> Options Contract of Dalian Commodity Exchange</w:t>
      </w:r>
      <w:r>
        <w:rPr>
          <w:rFonts w:ascii="Times New Roman" w:eastAsia="宋体" w:hAnsi="Times New Roman" w:hint="eastAsia"/>
        </w:rPr>
        <w:t>.</w:t>
      </w:r>
    </w:p>
    <w:p w:rsidR="001C32E5" w:rsidRPr="00210CB4" w:rsidRDefault="001C32E5" w:rsidP="001C32E5">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67613"/>
    <w:multiLevelType w:val="multilevel"/>
    <w:tmpl w:val="0ED08D7A"/>
    <w:lvl w:ilvl="0">
      <w:start w:val="1"/>
      <w:numFmt w:val="decimal"/>
      <w:lvlText w:val="%1."/>
      <w:lvlJc w:val="left"/>
      <w:pPr>
        <w:ind w:left="360" w:hanging="360"/>
      </w:pPr>
      <w:rPr>
        <w:rFonts w:ascii="Times New Roman" w:hAnsi="Times New Roman" w:cs="宋体"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edoc.dce.com.cn/weaver/weaver.file.FileDownload?fileid=746832&amp;type=document"/>
  </w:docVars>
  <w:rsids>
    <w:rsidRoot w:val="003C50E8"/>
    <w:rsid w:val="001434A1"/>
    <w:rsid w:val="001C32E5"/>
    <w:rsid w:val="00210CB4"/>
    <w:rsid w:val="003C50E8"/>
    <w:rsid w:val="006050B0"/>
    <w:rsid w:val="007F1451"/>
    <w:rsid w:val="00852B37"/>
    <w:rsid w:val="00AE7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08CF9"/>
  <w15:chartTrackingRefBased/>
  <w15:docId w15:val="{AF31521C-9C56-45F3-8AD3-45793754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10CB4"/>
    <w:pPr>
      <w:snapToGrid w:val="0"/>
      <w:jc w:val="left"/>
    </w:pPr>
    <w:rPr>
      <w:sz w:val="18"/>
      <w:szCs w:val="18"/>
    </w:rPr>
  </w:style>
  <w:style w:type="character" w:customStyle="1" w:styleId="a4">
    <w:name w:val="脚注文本 字符"/>
    <w:basedOn w:val="a0"/>
    <w:link w:val="a3"/>
    <w:uiPriority w:val="99"/>
    <w:semiHidden/>
    <w:rsid w:val="00210CB4"/>
    <w:rPr>
      <w:sz w:val="18"/>
      <w:szCs w:val="18"/>
    </w:rPr>
  </w:style>
  <w:style w:type="character" w:styleId="a5">
    <w:name w:val="footnote reference"/>
    <w:basedOn w:val="a0"/>
    <w:uiPriority w:val="99"/>
    <w:semiHidden/>
    <w:unhideWhenUsed/>
    <w:rsid w:val="00210CB4"/>
    <w:rPr>
      <w:vertAlign w:val="superscript"/>
    </w:rPr>
  </w:style>
  <w:style w:type="paragraph" w:styleId="a6">
    <w:name w:val="header"/>
    <w:basedOn w:val="a"/>
    <w:link w:val="a7"/>
    <w:uiPriority w:val="99"/>
    <w:unhideWhenUsed/>
    <w:rsid w:val="00210CB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10CB4"/>
    <w:rPr>
      <w:sz w:val="18"/>
      <w:szCs w:val="18"/>
    </w:rPr>
  </w:style>
  <w:style w:type="paragraph" w:styleId="a8">
    <w:name w:val="footer"/>
    <w:basedOn w:val="a"/>
    <w:link w:val="a9"/>
    <w:uiPriority w:val="99"/>
    <w:unhideWhenUsed/>
    <w:rsid w:val="00210CB4"/>
    <w:pPr>
      <w:tabs>
        <w:tab w:val="center" w:pos="4153"/>
        <w:tab w:val="right" w:pos="8306"/>
      </w:tabs>
      <w:snapToGrid w:val="0"/>
      <w:jc w:val="left"/>
    </w:pPr>
    <w:rPr>
      <w:sz w:val="18"/>
      <w:szCs w:val="18"/>
    </w:rPr>
  </w:style>
  <w:style w:type="character" w:customStyle="1" w:styleId="a9">
    <w:name w:val="页脚 字符"/>
    <w:basedOn w:val="a0"/>
    <w:link w:val="a8"/>
    <w:uiPriority w:val="99"/>
    <w:rsid w:val="00210CB4"/>
    <w:rPr>
      <w:sz w:val="18"/>
      <w:szCs w:val="18"/>
    </w:rPr>
  </w:style>
  <w:style w:type="paragraph" w:styleId="aa">
    <w:name w:val="Balloon Text"/>
    <w:basedOn w:val="a"/>
    <w:link w:val="ab"/>
    <w:uiPriority w:val="99"/>
    <w:semiHidden/>
    <w:unhideWhenUsed/>
    <w:rsid w:val="006050B0"/>
    <w:rPr>
      <w:sz w:val="18"/>
      <w:szCs w:val="18"/>
    </w:rPr>
  </w:style>
  <w:style w:type="character" w:customStyle="1" w:styleId="ab">
    <w:name w:val="批注框文本 字符"/>
    <w:basedOn w:val="a0"/>
    <w:link w:val="aa"/>
    <w:uiPriority w:val="99"/>
    <w:semiHidden/>
    <w:rsid w:val="006050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030571">
      <w:bodyDiv w:val="1"/>
      <w:marLeft w:val="0"/>
      <w:marRight w:val="0"/>
      <w:marTop w:val="0"/>
      <w:marBottom w:val="0"/>
      <w:divBdr>
        <w:top w:val="none" w:sz="0" w:space="0" w:color="auto"/>
        <w:left w:val="none" w:sz="0" w:space="0" w:color="auto"/>
        <w:bottom w:val="none" w:sz="0" w:space="0" w:color="auto"/>
        <w:right w:val="none" w:sz="0" w:space="0" w:color="auto"/>
      </w:divBdr>
    </w:div>
    <w:div w:id="11203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0D98D-ABF3-4946-9D1C-755A0F53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辛悦</cp:lastModifiedBy>
  <cp:revision>4</cp:revision>
  <dcterms:created xsi:type="dcterms:W3CDTF">2023-11-14T02:13:00Z</dcterms:created>
  <dcterms:modified xsi:type="dcterms:W3CDTF">2023-11-17T08:46:00Z</dcterms:modified>
</cp:coreProperties>
</file>