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42EE" w:rsidRPr="00F542EE" w:rsidRDefault="00F542EE" w:rsidP="00F542EE">
      <w:pPr>
        <w:widowControl/>
        <w:adjustRightInd w:val="0"/>
        <w:snapToGrid w:val="0"/>
        <w:spacing w:before="200" w:line="288" w:lineRule="auto"/>
        <w:jc w:val="left"/>
        <w:outlineLvl w:val="0"/>
        <w:rPr>
          <w:rFonts w:ascii="Times New Roman" w:eastAsia="黑体" w:hAnsi="Times New Roman" w:cs="Times New Roman"/>
          <w:kern w:val="0"/>
          <w:sz w:val="24"/>
          <w:szCs w:val="24"/>
        </w:rPr>
      </w:pPr>
      <w:r w:rsidRPr="00F542EE">
        <w:rPr>
          <w:rFonts w:ascii="Times New Roman" w:eastAsia="黑体" w:hAnsi="Times New Roman" w:cs="Times New Roman"/>
          <w:kern w:val="0"/>
          <w:sz w:val="24"/>
          <w:szCs w:val="24"/>
        </w:rPr>
        <w:t>Attachment 2</w:t>
      </w:r>
    </w:p>
    <w:p w:rsidR="00F542EE" w:rsidRPr="00F542EE" w:rsidRDefault="00F542EE" w:rsidP="00F542EE">
      <w:pPr>
        <w:widowControl/>
        <w:adjustRightInd w:val="0"/>
        <w:snapToGrid w:val="0"/>
        <w:spacing w:before="200" w:line="288" w:lineRule="auto"/>
        <w:jc w:val="left"/>
        <w:rPr>
          <w:rFonts w:ascii="Times New Roman" w:eastAsia="黑体" w:hAnsi="Times New Roman" w:cs="Times New Roman"/>
          <w:kern w:val="0"/>
          <w:sz w:val="24"/>
          <w:szCs w:val="24"/>
        </w:rPr>
      </w:pPr>
    </w:p>
    <w:p w:rsidR="00F542EE" w:rsidRPr="00F542EE" w:rsidRDefault="00F542EE" w:rsidP="00F542EE">
      <w:pPr>
        <w:adjustRightInd w:val="0"/>
        <w:snapToGrid w:val="0"/>
        <w:spacing w:before="200" w:line="288" w:lineRule="auto"/>
        <w:jc w:val="center"/>
        <w:outlineLvl w:val="1"/>
        <w:rPr>
          <w:rFonts w:ascii="Times New Roman" w:eastAsia="宋体" w:hAnsi="Times New Roman" w:cs="Times New Roman"/>
          <w:b/>
          <w:sz w:val="24"/>
          <w:szCs w:val="24"/>
        </w:rPr>
      </w:pPr>
      <w:r w:rsidRPr="00F542EE">
        <w:rPr>
          <w:rFonts w:ascii="Times New Roman" w:eastAsia="仿宋_GB2312" w:hAnsi="Times New Roman" w:cs="Times New Roman"/>
          <w:b/>
          <w:sz w:val="24"/>
          <w:szCs w:val="24"/>
        </w:rPr>
        <w:t>Detailed Rules of No.1 Soybean Futures of Dalian Commodity Exchange</w:t>
      </w:r>
    </w:p>
    <w:p w:rsidR="00F542EE" w:rsidRPr="00F542EE" w:rsidRDefault="00F542EE" w:rsidP="00F542EE">
      <w:pPr>
        <w:adjustRightInd w:val="0"/>
        <w:snapToGrid w:val="0"/>
        <w:spacing w:before="200" w:line="288" w:lineRule="auto"/>
        <w:jc w:val="center"/>
        <w:rPr>
          <w:rFonts w:ascii="Times New Roman" w:eastAsia="宋体" w:hAnsi="Times New Roman" w:cs="Times New Roman"/>
          <w:b/>
          <w:sz w:val="24"/>
          <w:szCs w:val="24"/>
        </w:rPr>
      </w:pPr>
      <w:r w:rsidRPr="00F542EE">
        <w:rPr>
          <w:rFonts w:ascii="Times New Roman" w:eastAsia="宋体" w:hAnsi="Times New Roman" w:cs="Times New Roman"/>
          <w:b/>
          <w:sz w:val="24"/>
          <w:szCs w:val="24"/>
        </w:rPr>
        <w:t>Chapter I  General Provisions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Detailed Rules of No.1 Soybean Futures of Dalian Commodity Exchange (the "</w:t>
      </w:r>
      <w:r w:rsidRPr="00F542EE">
        <w:rPr>
          <w:rFonts w:ascii="Times New Roman" w:eastAsia="宋体" w:hAnsi="Times New Roman" w:cs="Times New Roman"/>
          <w:b/>
          <w:sz w:val="24"/>
          <w:szCs w:val="24"/>
        </w:rPr>
        <w:t>Detailed Rules</w:t>
      </w:r>
      <w:r w:rsidRPr="00F542EE">
        <w:rPr>
          <w:rFonts w:ascii="Times New Roman" w:eastAsia="宋体" w:hAnsi="Times New Roman" w:cs="Times New Roman"/>
          <w:sz w:val="24"/>
          <w:szCs w:val="24"/>
        </w:rPr>
        <w:t xml:space="preserve">") are formulated pursuant to the </w:t>
      </w:r>
      <w:r w:rsidRPr="00F542EE">
        <w:rPr>
          <w:rFonts w:ascii="Times New Roman" w:eastAsia="宋体" w:hAnsi="Times New Roman" w:cs="Times New Roman"/>
          <w:i/>
          <w:sz w:val="24"/>
          <w:szCs w:val="24"/>
        </w:rPr>
        <w:t>Trading Rules of Dalian Commodity Exchange</w:t>
      </w:r>
      <w:r w:rsidRPr="00F542EE">
        <w:rPr>
          <w:rFonts w:ascii="Times New Roman" w:eastAsia="宋体" w:hAnsi="Times New Roman" w:cs="Times New Roman"/>
          <w:sz w:val="24"/>
          <w:szCs w:val="24"/>
        </w:rPr>
        <w:t xml:space="preserve"> and the </w:t>
      </w:r>
      <w:r w:rsidRPr="00F542EE">
        <w:rPr>
          <w:rFonts w:ascii="Times New Roman" w:eastAsia="宋体" w:hAnsi="Times New Roman" w:cs="Times New Roman"/>
          <w:i/>
          <w:sz w:val="24"/>
          <w:szCs w:val="24"/>
        </w:rPr>
        <w:t>No.1 Soybean Futures Contract of Dalian Commodity Exchange</w:t>
      </w:r>
      <w:r w:rsidRPr="00F542EE">
        <w:rPr>
          <w:rFonts w:ascii="Times New Roman" w:eastAsia="宋体" w:hAnsi="Times New Roman" w:cs="Times New Roman"/>
          <w:sz w:val="24"/>
          <w:szCs w:val="24"/>
        </w:rPr>
        <w:t xml:space="preserve"> for the purpose of standardizing the trading of No.1 soybean futures contracts.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Dalian Commodity Exchange (the "</w:t>
      </w:r>
      <w:r w:rsidRPr="00F542EE">
        <w:rPr>
          <w:rFonts w:ascii="Times New Roman" w:eastAsia="宋体" w:hAnsi="Times New Roman" w:cs="Times New Roman"/>
          <w:b/>
          <w:sz w:val="24"/>
          <w:szCs w:val="24"/>
        </w:rPr>
        <w:t>Exchange</w:t>
      </w:r>
      <w:r w:rsidRPr="00F542EE">
        <w:rPr>
          <w:rFonts w:ascii="Times New Roman" w:eastAsia="宋体" w:hAnsi="Times New Roman" w:cs="Times New Roman"/>
          <w:sz w:val="24"/>
          <w:szCs w:val="24"/>
        </w:rPr>
        <w:t>"), its Members, the Overseas Special Participants, the Overseas Intermediaries, the clients, the designated delivery warehouses, the designated quality inspection agencies, the designated futures margin depositary banks and other participants in the futures market shall comply with the Detailed Rules.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Where it is not provided in the Detailed Rules, the relevant rules of the Exchange shall apply.</w:t>
      </w:r>
    </w:p>
    <w:p w:rsidR="00F542EE" w:rsidRPr="00F542EE" w:rsidRDefault="00F542EE" w:rsidP="00F542EE">
      <w:pPr>
        <w:adjustRightInd w:val="0"/>
        <w:snapToGrid w:val="0"/>
        <w:spacing w:before="200" w:line="288" w:lineRule="auto"/>
        <w:jc w:val="center"/>
        <w:rPr>
          <w:rFonts w:ascii="Times New Roman" w:eastAsia="宋体" w:hAnsi="Times New Roman" w:cs="Times New Roman"/>
          <w:b/>
          <w:sz w:val="24"/>
          <w:szCs w:val="24"/>
        </w:rPr>
      </w:pPr>
      <w:r w:rsidRPr="00F542EE">
        <w:rPr>
          <w:rFonts w:ascii="Times New Roman" w:eastAsia="宋体" w:hAnsi="Times New Roman" w:cs="Times New Roman"/>
          <w:b/>
          <w:sz w:val="24"/>
          <w:szCs w:val="24"/>
        </w:rPr>
        <w:t>Chapter II  Principle Terms of the Contract and Relevant Parameters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bookmarkStart w:id="0" w:name="OLE_LINK7"/>
      <w:bookmarkStart w:id="1" w:name="OLE_LINK8"/>
      <w:r w:rsidRPr="00F542EE">
        <w:rPr>
          <w:rFonts w:ascii="Times New Roman" w:eastAsia="宋体" w:hAnsi="Times New Roman" w:cs="Times New Roman"/>
          <w:sz w:val="24"/>
          <w:szCs w:val="24"/>
        </w:rPr>
        <w:t xml:space="preserve">The quality standards for and the quality discounts and/or premiums of standard deliverable products and substitutes under the No. 1 soybean futures contract are detailed in the </w:t>
      </w:r>
      <w:r w:rsidRPr="00F542EE">
        <w:rPr>
          <w:rFonts w:ascii="Times New Roman" w:eastAsia="宋体" w:hAnsi="Times New Roman" w:cs="Times New Roman"/>
          <w:i/>
          <w:sz w:val="24"/>
          <w:szCs w:val="24"/>
        </w:rPr>
        <w:t>No. 1 Soybean Delivery Quality Standards of Dalian Commodity Exchange (F/DCE A001-2024)</w:t>
      </w:r>
      <w:r w:rsidRPr="00F542EE">
        <w:rPr>
          <w:rFonts w:ascii="Times New Roman" w:eastAsia="宋体" w:hAnsi="Times New Roman" w:cs="Times New Roman"/>
          <w:sz w:val="24"/>
          <w:szCs w:val="24"/>
        </w:rPr>
        <w:t xml:space="preserve"> as Annex 1 attached hereto.</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No.1 soybean futures contract shall take the form of physical delivery.</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delivery warehouses designated for No. 1 soybean shall be divided into the benchmark delivery warehouses and the non-benchmark delivery warehouses (detailed in the</w:t>
      </w:r>
      <w:r w:rsidRPr="00F542EE">
        <w:rPr>
          <w:rFonts w:ascii="Times New Roman" w:eastAsia="宋体" w:hAnsi="Times New Roman" w:cs="Times New Roman"/>
          <w:i/>
          <w:sz w:val="24"/>
          <w:szCs w:val="24"/>
        </w:rPr>
        <w:t xml:space="preserve"> List of Delivery Warehouses Designated for No. 1 Soybean of Dalian Commodity Exchange</w:t>
      </w:r>
      <w:r w:rsidRPr="00F542EE">
        <w:rPr>
          <w:rFonts w:ascii="Times New Roman" w:eastAsia="宋体" w:hAnsi="Times New Roman" w:cs="Times New Roman"/>
          <w:sz w:val="24"/>
          <w:szCs w:val="24"/>
        </w:rPr>
        <w:t xml:space="preserve"> as Annex 2 attached hereto), and may be adjusted by the Exchange as the case may be.</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contract months of the No.1 soybean futures contract are January, March, May, July, September and November.</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trading unit of the No.1 soybean futures contract is 10 MT/ Lot.</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price quote unit of the No.1 soybean futures contract is CNY/MT.</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minimum tick size of the No.1 soybean futures contract is 1 CNY/MT.</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lastRenderedPageBreak/>
        <w:t>The maximum quantity of orders placed each time for the No.1 soybean futures contract shall be one thousand (1,000) lots.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 xml:space="preserve">The standard of trading margins, price limit range and position limit under the No.1 soybean futures contract shall be subject to the relevant provisions of the </w:t>
      </w:r>
      <w:r w:rsidRPr="00F542EE">
        <w:rPr>
          <w:rFonts w:ascii="Times New Roman" w:eastAsia="宋体" w:hAnsi="Times New Roman" w:cs="Times New Roman"/>
          <w:i/>
          <w:sz w:val="24"/>
          <w:szCs w:val="24"/>
        </w:rPr>
        <w:t>Measures for Risk Management of Dalian Commodity Exchange</w:t>
      </w:r>
      <w:r w:rsidRPr="00F542EE">
        <w:rPr>
          <w:rFonts w:ascii="Times New Roman" w:eastAsia="宋体" w:hAnsi="Times New Roman" w:cs="Times New Roman"/>
          <w:sz w:val="24"/>
          <w:szCs w:val="24"/>
        </w:rPr>
        <w:t xml:space="preserve">. </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last trading day of the No.1 soybean futures contract is the tenth trading day of the contract month.</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last delivery day of the No.1 soybean futures contract is the third trading day after the last trading day.</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ticker symbol of the No.1 soybean futures contract is A.</w:t>
      </w:r>
    </w:p>
    <w:bookmarkEnd w:id="0"/>
    <w:bookmarkEnd w:id="1"/>
    <w:p w:rsidR="00F542EE" w:rsidRPr="00F542EE" w:rsidRDefault="00F542EE" w:rsidP="00F542EE">
      <w:pPr>
        <w:adjustRightInd w:val="0"/>
        <w:snapToGrid w:val="0"/>
        <w:spacing w:before="200" w:line="288" w:lineRule="auto"/>
        <w:jc w:val="center"/>
        <w:rPr>
          <w:rFonts w:ascii="Times New Roman" w:eastAsia="宋体" w:hAnsi="Times New Roman" w:cs="Times New Roman"/>
          <w:b/>
          <w:sz w:val="24"/>
          <w:szCs w:val="24"/>
        </w:rPr>
      </w:pPr>
      <w:r w:rsidRPr="00F542EE">
        <w:rPr>
          <w:rFonts w:ascii="Times New Roman" w:eastAsia="宋体" w:hAnsi="Times New Roman" w:cs="Times New Roman"/>
          <w:b/>
          <w:sz w:val="24"/>
          <w:szCs w:val="24"/>
        </w:rPr>
        <w:t>Chapter III  Delivery and Clearing</w:t>
      </w:r>
    </w:p>
    <w:p w:rsidR="00F542EE" w:rsidRPr="00F542EE" w:rsidRDefault="00F542EE" w:rsidP="00F542EE">
      <w:pPr>
        <w:adjustRightInd w:val="0"/>
        <w:snapToGrid w:val="0"/>
        <w:spacing w:before="200" w:line="288" w:lineRule="auto"/>
        <w:jc w:val="center"/>
        <w:rPr>
          <w:rFonts w:ascii="Times New Roman" w:eastAsia="宋体" w:hAnsi="Times New Roman" w:cs="Times New Roman"/>
          <w:sz w:val="24"/>
          <w:szCs w:val="24"/>
        </w:rPr>
      </w:pPr>
      <w:r w:rsidRPr="00F542EE">
        <w:rPr>
          <w:rFonts w:ascii="Times New Roman" w:eastAsia="宋体" w:hAnsi="Times New Roman" w:cs="Times New Roman"/>
          <w:sz w:val="24"/>
          <w:szCs w:val="24"/>
        </w:rPr>
        <w:t>Section I  General Provisions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bookmarkStart w:id="2" w:name="OLE_LINK5"/>
      <w:r w:rsidRPr="00F542EE">
        <w:rPr>
          <w:rFonts w:ascii="Times New Roman" w:eastAsia="宋体" w:hAnsi="Times New Roman" w:cs="Times New Roman"/>
          <w:sz w:val="24"/>
          <w:szCs w:val="24"/>
        </w:rPr>
        <w:t>The No.1 soybean futures contract may apply the exchange of futures for physicals (the "</w:t>
      </w:r>
      <w:r w:rsidRPr="00F542EE">
        <w:rPr>
          <w:rFonts w:ascii="Times New Roman" w:eastAsia="宋体" w:hAnsi="Times New Roman" w:cs="Times New Roman"/>
          <w:b/>
          <w:sz w:val="24"/>
          <w:szCs w:val="24"/>
        </w:rPr>
        <w:t>EFP</w:t>
      </w:r>
      <w:r w:rsidRPr="00F542EE">
        <w:rPr>
          <w:rFonts w:ascii="Times New Roman" w:eastAsia="宋体" w:hAnsi="Times New Roman" w:cs="Times New Roman"/>
          <w:sz w:val="24"/>
          <w:szCs w:val="24"/>
        </w:rPr>
        <w:t xml:space="preserve">") </w:t>
      </w:r>
      <w:bookmarkStart w:id="3" w:name="_Hlk136846207"/>
      <w:r w:rsidRPr="00F542EE">
        <w:rPr>
          <w:rFonts w:ascii="Times New Roman" w:eastAsia="宋体" w:hAnsi="Times New Roman" w:cs="Times New Roman"/>
          <w:color w:val="000000"/>
          <w:sz w:val="24"/>
          <w:szCs w:val="24"/>
        </w:rPr>
        <w:t>delivery</w:t>
      </w:r>
      <w:bookmarkEnd w:id="3"/>
      <w:r w:rsidRPr="00F542EE">
        <w:rPr>
          <w:rFonts w:ascii="Times New Roman" w:eastAsia="宋体" w:hAnsi="Times New Roman" w:cs="Times New Roman"/>
          <w:sz w:val="24"/>
          <w:szCs w:val="24"/>
        </w:rPr>
        <w:t xml:space="preserve">, rolling delivery and one-off delivery, the detailed procedures of which are provided in the relevant provisions of </w:t>
      </w:r>
      <w:r w:rsidRPr="00F542EE">
        <w:rPr>
          <w:rFonts w:ascii="Times New Roman" w:eastAsia="宋体" w:hAnsi="Times New Roman" w:cs="Times New Roman" w:hint="eastAsia"/>
          <w:sz w:val="24"/>
          <w:szCs w:val="24"/>
        </w:rPr>
        <w:t>t</w:t>
      </w:r>
      <w:r w:rsidRPr="00F542EE">
        <w:rPr>
          <w:rFonts w:ascii="Times New Roman" w:eastAsia="宋体" w:hAnsi="Times New Roman" w:cs="Times New Roman"/>
          <w:color w:val="000000"/>
          <w:sz w:val="24"/>
          <w:szCs w:val="24"/>
        </w:rPr>
        <w:t>he</w:t>
      </w:r>
      <w:r w:rsidRPr="00F542EE">
        <w:rPr>
          <w:rFonts w:ascii="Calibri" w:eastAsia="宋体" w:hAnsi="Calibri" w:cs="Times New Roman"/>
          <w:sz w:val="24"/>
          <w:szCs w:val="24"/>
        </w:rPr>
        <w:t xml:space="preserve"> </w:t>
      </w:r>
      <w:r w:rsidRPr="00F542EE">
        <w:rPr>
          <w:rFonts w:ascii="Times New Roman" w:eastAsia="宋体" w:hAnsi="Times New Roman" w:cs="Times New Roman"/>
          <w:i/>
          <w:iCs/>
          <w:color w:val="000000"/>
          <w:sz w:val="24"/>
          <w:szCs w:val="24"/>
        </w:rPr>
        <w:t>Measures for Trading Management of Dalian Commodity Exchange</w:t>
      </w:r>
      <w:r w:rsidRPr="00F542EE">
        <w:rPr>
          <w:rFonts w:ascii="Times New Roman" w:eastAsia="宋体" w:hAnsi="Times New Roman" w:cs="Times New Roman"/>
          <w:color w:val="000000"/>
          <w:sz w:val="24"/>
          <w:szCs w:val="24"/>
        </w:rPr>
        <w:t xml:space="preserve">, </w:t>
      </w:r>
      <w:r w:rsidRPr="00F542EE">
        <w:rPr>
          <w:rFonts w:ascii="Times New Roman" w:eastAsia="宋体" w:hAnsi="Times New Roman" w:cs="Times New Roman"/>
          <w:sz w:val="24"/>
          <w:szCs w:val="24"/>
        </w:rPr>
        <w:t xml:space="preserve">the </w:t>
      </w:r>
      <w:r w:rsidRPr="00F542EE">
        <w:rPr>
          <w:rFonts w:ascii="Times New Roman" w:eastAsia="宋体" w:hAnsi="Times New Roman" w:cs="Times New Roman"/>
          <w:i/>
          <w:sz w:val="24"/>
          <w:szCs w:val="24"/>
        </w:rPr>
        <w:t>Measures for Delivery Management of Dalian Commodity Exchange</w:t>
      </w:r>
      <w:r w:rsidRPr="00F542EE">
        <w:rPr>
          <w:rFonts w:ascii="Times New Roman" w:eastAsia="宋体" w:hAnsi="Times New Roman" w:cs="Times New Roman"/>
          <w:sz w:val="24"/>
          <w:szCs w:val="24"/>
        </w:rPr>
        <w:t xml:space="preserve"> and the </w:t>
      </w:r>
      <w:r w:rsidRPr="00F542EE">
        <w:rPr>
          <w:rFonts w:ascii="Times New Roman" w:eastAsia="宋体" w:hAnsi="Times New Roman" w:cs="Times New Roman"/>
          <w:i/>
          <w:sz w:val="24"/>
          <w:szCs w:val="24"/>
        </w:rPr>
        <w:t>Measures for Clearing Management of Dalian Commodity Exchange</w:t>
      </w:r>
      <w:r w:rsidRPr="00F542EE">
        <w:rPr>
          <w:rFonts w:ascii="Times New Roman" w:eastAsia="宋体" w:hAnsi="Times New Roman" w:cs="Times New Roman"/>
          <w:sz w:val="24"/>
          <w:szCs w:val="24"/>
        </w:rPr>
        <w:t xml:space="preserve">. </w:t>
      </w:r>
    </w:p>
    <w:bookmarkEnd w:id="2"/>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color w:val="000000"/>
          <w:sz w:val="24"/>
          <w:szCs w:val="24"/>
        </w:rPr>
      </w:pPr>
      <w:r w:rsidRPr="00F542EE">
        <w:rPr>
          <w:rFonts w:ascii="Times New Roman" w:eastAsia="宋体" w:hAnsi="Times New Roman" w:cs="Times New Roman"/>
          <w:color w:val="000000"/>
          <w:sz w:val="24"/>
          <w:szCs w:val="24"/>
        </w:rPr>
        <w:t xml:space="preserve">Where the EFP is applied through the standard warehouse receipts, the parties to the trading shall, in addition to submitting relevant EFP information and materials in accordance with the </w:t>
      </w:r>
      <w:r w:rsidRPr="00F542EE">
        <w:rPr>
          <w:rFonts w:ascii="Times New Roman" w:eastAsia="宋体" w:hAnsi="Times New Roman" w:cs="Times New Roman"/>
          <w:i/>
          <w:iCs/>
          <w:color w:val="000000"/>
          <w:sz w:val="24"/>
          <w:szCs w:val="24"/>
        </w:rPr>
        <w:t>Measures for Trading Management of Dalian Commodity Exchange</w:t>
      </w:r>
      <w:r w:rsidRPr="00F542EE">
        <w:rPr>
          <w:rFonts w:ascii="Times New Roman" w:eastAsia="宋体" w:hAnsi="Times New Roman" w:cs="Times New Roman"/>
          <w:color w:val="000000"/>
          <w:sz w:val="24"/>
          <w:szCs w:val="24"/>
        </w:rPr>
        <w:t>, submit legal and valid qualification certificates indicating that they can receive or issue VAT invoices.</w:t>
      </w:r>
    </w:p>
    <w:p w:rsidR="00F542EE" w:rsidRPr="00F542EE" w:rsidRDefault="00F542EE" w:rsidP="00F542EE">
      <w:pPr>
        <w:adjustRightInd w:val="0"/>
        <w:snapToGrid w:val="0"/>
        <w:spacing w:before="200" w:line="288" w:lineRule="auto"/>
        <w:ind w:left="1259"/>
        <w:rPr>
          <w:rFonts w:ascii="Times New Roman" w:eastAsia="宋体" w:hAnsi="Times New Roman" w:cs="Times New Roman"/>
          <w:b/>
          <w:sz w:val="24"/>
          <w:szCs w:val="24"/>
        </w:rPr>
      </w:pPr>
      <w:r w:rsidRPr="00F542EE">
        <w:rPr>
          <w:rFonts w:ascii="Times New Roman" w:eastAsia="宋体" w:hAnsi="Times New Roman" w:cs="Times New Roman"/>
          <w:color w:val="000000"/>
          <w:sz w:val="24"/>
          <w:szCs w:val="24"/>
        </w:rPr>
        <w:t xml:space="preserve">When participating in the rolling delivery and one-off delivery, the clients shall submit legal and valid qualification certificates indicating that they can receive or issue VAT invoices to the Exchange before 14:30 of the handover day through the Members. If they fail to submit such certificates within the specified period, they shall be deemed disqualified for receiving or issuing VAT invoices, and shall be handled pursuant to the relevant provisions of the </w:t>
      </w:r>
      <w:r w:rsidRPr="00F542EE">
        <w:rPr>
          <w:rFonts w:ascii="Times New Roman" w:eastAsia="宋体" w:hAnsi="Times New Roman" w:cs="Times New Roman"/>
          <w:i/>
          <w:iCs/>
          <w:color w:val="000000"/>
          <w:sz w:val="24"/>
          <w:szCs w:val="24"/>
        </w:rPr>
        <w:t>Measures for Delivery Management of Dalian Commodity Exchange</w:t>
      </w:r>
      <w:r w:rsidRPr="00F542EE">
        <w:rPr>
          <w:rFonts w:ascii="Times New Roman" w:eastAsia="宋体" w:hAnsi="Times New Roman" w:cs="Times New Roman"/>
          <w:color w:val="000000"/>
          <w:sz w:val="24"/>
          <w:szCs w:val="24"/>
        </w:rPr>
        <w:t>.</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b/>
          <w:sz w:val="24"/>
          <w:szCs w:val="24"/>
        </w:rPr>
      </w:pPr>
      <w:r w:rsidRPr="00F542EE">
        <w:rPr>
          <w:rFonts w:ascii="Times New Roman" w:eastAsia="宋体" w:hAnsi="Times New Roman" w:cs="Times New Roman"/>
          <w:sz w:val="24"/>
          <w:szCs w:val="24"/>
        </w:rPr>
        <w:t>The standard warehouse receipt of No.1 soybean shall be the standard warehouse receipt of storage warehouse.</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lastRenderedPageBreak/>
        <w:t>The differences of quality discounts and/or premiums of the No. 1 soybean futures contract shall be settled between the owner of the goods and the designated delivery warehouse.</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No. 1 soybean shall be delivered in the form of bulk grain.</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trading price of the No. 1 soybean futures contract shall be that of the bulk grain price.</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dedicated VAT invoice shall be issued for delivery of No.1 soybean.</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delivery commissions, the sampling and inspection fees, the storage and dissipation fees (including the warehousing fees, custody dissipation, fumigation fees) and other fees of No.1 Soybean shall be separately published by the Exchange. During the period from May 1 to October 31, the high-temperature storage fees shall be additionally charged.</w:t>
      </w:r>
    </w:p>
    <w:p w:rsidR="00F542EE" w:rsidRPr="00F542EE" w:rsidRDefault="00F542EE" w:rsidP="00F542EE">
      <w:pPr>
        <w:adjustRightInd w:val="0"/>
        <w:snapToGrid w:val="0"/>
        <w:spacing w:before="200" w:line="288" w:lineRule="auto"/>
        <w:jc w:val="center"/>
        <w:rPr>
          <w:rFonts w:ascii="Times New Roman" w:eastAsia="宋体" w:hAnsi="Times New Roman" w:cs="Times New Roman"/>
          <w:sz w:val="24"/>
          <w:szCs w:val="24"/>
        </w:rPr>
      </w:pPr>
      <w:r w:rsidRPr="00F542EE">
        <w:rPr>
          <w:rFonts w:ascii="Times New Roman" w:eastAsia="宋体" w:hAnsi="Times New Roman" w:cs="Times New Roman"/>
          <w:sz w:val="24"/>
          <w:szCs w:val="24"/>
        </w:rPr>
        <w:t>Section II  Standard Warehouse Receipt Delivery</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 xml:space="preserve">The </w:t>
      </w:r>
      <w:r w:rsidRPr="00F542EE">
        <w:rPr>
          <w:rFonts w:ascii="Times New Roman" w:eastAsia="宋体" w:hAnsi="Times New Roman" w:cs="Times New Roman"/>
          <w:i/>
          <w:sz w:val="24"/>
          <w:szCs w:val="24"/>
        </w:rPr>
        <w:t>Measures for Standard Warehouse Receipt Management of Dalian Commodity Exchange</w:t>
      </w:r>
      <w:r w:rsidRPr="00F542EE">
        <w:rPr>
          <w:rFonts w:ascii="Times New Roman" w:eastAsia="宋体" w:hAnsi="Times New Roman" w:cs="Times New Roman"/>
          <w:sz w:val="24"/>
          <w:szCs w:val="24"/>
        </w:rPr>
        <w:t xml:space="preserve"> shall apply to the generation, circulation and deregistration of the standard warehouse receipts, if not provided in the Detailed Rules.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Member shall pay the notice of intent to deliver earnest money to the Exchange as per the standard of CNY ten (10) per ton when it handles the notice of intent to deliver.</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owner which has fully completed the notice of intent to deliver shall, before consignment, notify the designated delivery warehouse of the vehicle or vessel number, products, quantity, arrival time and other information, and the designated delivery warehouse shall reasonably arrange for the receipt of, and the delivery into the warehouse of, the commodities.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receiving and consigning weights of No. 1 soybean shall be subject to the weighting by the designated delivery warehouse.</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designated delivery warehouse shall conduct inspection of No. 1 soybean loaded into the warehouse subject to the applicable provisions of the Exchange. In case the inspection results are qualified, the designated delivery warehouse shall submit the relevant inspection report to the Exchange. The Exchange or the quality inspection agency entrusted by the Exchange shall check the commodities delivered into the warehouse, and only after it has confirmed that there is no error, can the commodities loaded into the warehouse be deemed to pass the inspection.</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lastRenderedPageBreak/>
        <w:t>The deregistration of standard warehouse receipts shall be carried out against the standard warehouse receipts of No. 1 soybean prior to the last trading day of each March.</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When No. 1 soybean are loaded out of the warehouse, the owner which holds the Notice to Load Out or load-out password shall contact the designated delivery warehouse for loading-out matters three (3) calendar days prior to the actual pickup date, and shall pick up the commodities at the designated delivery warehouse within ten (10) working days (inclusive of the tenth working day) after the deregistration of standard warehouse receipts.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 xml:space="preserve">If the owner has any objection on quality of the loaded-out commodities, it shall first negotiate with the warehouse to solve the problem. If the negotiation fails, the owner shall file a written application for re-inspection within ten (10) working days from the date of deregistration of the standard warehouse receipts, provided that the commodities have not been loaded out of the warehouse. The application for re-inspection shall specify the name of the warehouse, stack location, </w:t>
      </w:r>
      <w:r w:rsidRPr="00F542EE">
        <w:rPr>
          <w:rFonts w:ascii="Times New Roman" w:eastAsia="宋体" w:hAnsi="Times New Roman" w:cs="Times New Roman" w:hint="eastAsia"/>
          <w:sz w:val="24"/>
          <w:szCs w:val="24"/>
        </w:rPr>
        <w:t>quantity, quality index</w:t>
      </w:r>
      <w:r w:rsidRPr="00F542EE">
        <w:rPr>
          <w:rFonts w:ascii="Times New Roman" w:eastAsia="宋体" w:hAnsi="Times New Roman" w:cs="Times New Roman"/>
          <w:sz w:val="24"/>
          <w:szCs w:val="24"/>
        </w:rPr>
        <w:t xml:space="preserve"> and other information of the commodities to be re-inspected, leave the contact information and be affixed with the official seal of the owner. The owner shall be deemed to have no objection over quality of the loaded-out commodities if it does not file application in the prescribed manner within the prescribed period. The re-inspection shall be carried out by the designated quality inspection agency entrusted by the Exchange, and such re-inspection result shall be the basis for settlement of the dispute. The re-inspection fees shall be </w:t>
      </w:r>
      <w:r w:rsidRPr="00F542EE">
        <w:rPr>
          <w:rFonts w:ascii="Times New Roman" w:eastAsia="宋体" w:hAnsi="Times New Roman" w:cs="Times New Roman" w:hint="eastAsia"/>
          <w:sz w:val="24"/>
          <w:szCs w:val="24"/>
        </w:rPr>
        <w:t>advanced</w:t>
      </w:r>
      <w:r w:rsidRPr="00F542EE">
        <w:rPr>
          <w:rFonts w:ascii="Times New Roman" w:eastAsia="宋体" w:hAnsi="Times New Roman" w:cs="Times New Roman"/>
          <w:sz w:val="24"/>
          <w:szCs w:val="24"/>
        </w:rPr>
        <w:t xml:space="preserve"> by the owner. If the re-inspection result is in conformity with the inspection result confirmed by the warehouse, the relevant fees (including but not limited to the inspection fees, traveling expenses) as well as any losses incurred thereby shall be borne by the owner; if not, relevant fees (including but not limited to the inspection fees, traveling expenses) as well as any losses incurred thereby shall be borne by the warehouse</w:t>
      </w:r>
    </w:p>
    <w:p w:rsidR="00F542EE" w:rsidRPr="00F542EE" w:rsidRDefault="00F542EE" w:rsidP="00F542EE">
      <w:pPr>
        <w:adjustRightInd w:val="0"/>
        <w:snapToGrid w:val="0"/>
        <w:spacing w:before="200" w:line="288" w:lineRule="auto"/>
        <w:jc w:val="center"/>
        <w:rPr>
          <w:rFonts w:ascii="Times New Roman" w:eastAsia="宋体" w:hAnsi="Times New Roman" w:cs="Times New Roman"/>
          <w:b/>
          <w:sz w:val="24"/>
          <w:szCs w:val="24"/>
        </w:rPr>
      </w:pPr>
      <w:r w:rsidRPr="00F542EE">
        <w:rPr>
          <w:rFonts w:ascii="Times New Roman" w:eastAsia="宋体" w:hAnsi="Times New Roman" w:cs="Times New Roman"/>
          <w:b/>
          <w:sz w:val="24"/>
          <w:szCs w:val="24"/>
        </w:rPr>
        <w:t>Chapter IV  Supplementary Provisions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 xml:space="preserve">Any violation of the Detailed Rules shall be handled by the Exchange subject to the applicable provisions of the </w:t>
      </w:r>
      <w:r w:rsidRPr="00F542EE">
        <w:rPr>
          <w:rFonts w:ascii="Times New Roman" w:eastAsia="宋体" w:hAnsi="Times New Roman" w:cs="Times New Roman"/>
          <w:i/>
          <w:sz w:val="24"/>
          <w:szCs w:val="24"/>
        </w:rPr>
        <w:t xml:space="preserve">Measures against Rule Violations of Dalian Commodity Exchange </w:t>
      </w:r>
      <w:r w:rsidRPr="00F542EE">
        <w:rPr>
          <w:rFonts w:ascii="Times New Roman" w:eastAsia="宋体" w:hAnsi="Times New Roman" w:cs="Times New Roman"/>
          <w:sz w:val="24"/>
          <w:szCs w:val="24"/>
        </w:rPr>
        <w:t>and other rules.</w:t>
      </w:r>
    </w:p>
    <w:p w:rsidR="00F542EE" w:rsidRPr="00F542EE" w:rsidRDefault="00F542EE" w:rsidP="00F542EE">
      <w:pPr>
        <w:numPr>
          <w:ilvl w:val="0"/>
          <w:numId w:val="1"/>
        </w:numPr>
        <w:adjustRightInd w:val="0"/>
        <w:snapToGrid w:val="0"/>
        <w:spacing w:before="200" w:line="288" w:lineRule="auto"/>
        <w:ind w:left="1259" w:hanging="1259"/>
        <w:rPr>
          <w:rFonts w:ascii="Times New Roman" w:eastAsia="宋体" w:hAnsi="Times New Roman" w:cs="Times New Roman"/>
          <w:sz w:val="24"/>
          <w:szCs w:val="24"/>
        </w:rPr>
      </w:pPr>
      <w:r w:rsidRPr="00F542EE">
        <w:rPr>
          <w:rFonts w:ascii="Times New Roman" w:eastAsia="宋体" w:hAnsi="Times New Roman" w:cs="Times New Roman"/>
          <w:sz w:val="24"/>
          <w:szCs w:val="24"/>
        </w:rPr>
        <w:t>The Exchange reserves the right to interpret the Detailed Rules.</w:t>
      </w:r>
    </w:p>
    <w:p w:rsidR="00F542EE" w:rsidRPr="00F542EE" w:rsidRDefault="00F542EE" w:rsidP="00F542EE">
      <w:pPr>
        <w:numPr>
          <w:ilvl w:val="0"/>
          <w:numId w:val="1"/>
        </w:numPr>
        <w:adjustRightInd w:val="0"/>
        <w:snapToGrid w:val="0"/>
        <w:spacing w:before="200" w:line="288" w:lineRule="auto"/>
        <w:rPr>
          <w:rFonts w:ascii="Times New Roman" w:eastAsia="宋体" w:hAnsi="Times New Roman" w:cs="Times New Roman"/>
          <w:b/>
          <w:sz w:val="24"/>
          <w:szCs w:val="24"/>
        </w:rPr>
      </w:pPr>
      <w:r w:rsidRPr="00F542EE">
        <w:rPr>
          <w:rFonts w:ascii="Times New Roman" w:eastAsia="宋体" w:hAnsi="Times New Roman" w:cs="Times New Roman"/>
          <w:sz w:val="24"/>
          <w:szCs w:val="24"/>
        </w:rPr>
        <w:t>The Detailed Rules shall come into force on July 1, 2019.</w:t>
      </w:r>
    </w:p>
    <w:p w:rsidR="00F542EE" w:rsidRPr="00F542EE" w:rsidRDefault="00F542EE" w:rsidP="00F542EE">
      <w:pPr>
        <w:adjustRightInd w:val="0"/>
        <w:snapToGrid w:val="0"/>
        <w:spacing w:before="200" w:line="288" w:lineRule="auto"/>
        <w:rPr>
          <w:rFonts w:ascii="Times New Roman" w:eastAsia="宋体" w:hAnsi="Times New Roman" w:cs="Times New Roman"/>
          <w:b/>
          <w:sz w:val="24"/>
          <w:szCs w:val="24"/>
        </w:rPr>
      </w:pPr>
    </w:p>
    <w:p w:rsidR="00F542EE" w:rsidRPr="00F542EE" w:rsidRDefault="00F542EE" w:rsidP="00F542EE">
      <w:pPr>
        <w:adjustRightInd w:val="0"/>
        <w:snapToGrid w:val="0"/>
        <w:spacing w:before="200" w:line="288" w:lineRule="auto"/>
        <w:rPr>
          <w:rFonts w:ascii="Times New Roman" w:eastAsia="宋体" w:hAnsi="Times New Roman" w:cs="Times New Roman"/>
          <w:sz w:val="24"/>
          <w:szCs w:val="24"/>
        </w:rPr>
      </w:pPr>
      <w:r w:rsidRPr="00F542EE">
        <w:rPr>
          <w:rFonts w:ascii="Times New Roman" w:eastAsia="宋体" w:hAnsi="Times New Roman" w:cs="Times New Roman"/>
          <w:sz w:val="24"/>
          <w:szCs w:val="24"/>
        </w:rPr>
        <w:lastRenderedPageBreak/>
        <w:t xml:space="preserve">Annex 1:  No.1 Soybean Delivery Quality Standard of Dalian Commodity Exchange (F/DCE A001-2024) </w:t>
      </w:r>
    </w:p>
    <w:p w:rsidR="00F542EE" w:rsidRPr="00F542EE" w:rsidRDefault="00F542EE" w:rsidP="00F542EE">
      <w:pPr>
        <w:adjustRightInd w:val="0"/>
        <w:snapToGrid w:val="0"/>
        <w:spacing w:before="200" w:line="288" w:lineRule="auto"/>
        <w:rPr>
          <w:rFonts w:ascii="Times New Roman" w:eastAsia="宋体" w:hAnsi="Times New Roman" w:cs="Times New Roman"/>
          <w:sz w:val="24"/>
          <w:szCs w:val="24"/>
        </w:rPr>
      </w:pPr>
      <w:r w:rsidRPr="00F542EE">
        <w:rPr>
          <w:rFonts w:ascii="Times New Roman" w:eastAsia="宋体" w:hAnsi="Times New Roman" w:cs="Times New Roman"/>
          <w:sz w:val="24"/>
          <w:szCs w:val="24"/>
        </w:rPr>
        <w:t>Annex 2:  List of Delivery Warehouses Designated for No. 1 Soybean of Dalian Commodity Exchange</w:t>
      </w:r>
      <w:r w:rsidRPr="00F542EE">
        <w:rPr>
          <w:rFonts w:ascii="Times New Roman" w:eastAsia="宋体" w:hAnsi="Times New Roman" w:cs="Times New Roman" w:hint="eastAsia"/>
          <w:sz w:val="24"/>
          <w:szCs w:val="24"/>
        </w:rPr>
        <w:t xml:space="preserve"> </w:t>
      </w:r>
      <w:r w:rsidRPr="00F542EE">
        <w:rPr>
          <w:rFonts w:ascii="Times New Roman" w:eastAsia="宋体" w:hAnsi="Times New Roman" w:cs="Times New Roman"/>
          <w:sz w:val="24"/>
          <w:szCs w:val="24"/>
        </w:rPr>
        <w:t>(Omitted)</w:t>
      </w:r>
    </w:p>
    <w:p w:rsidR="00F542EE" w:rsidRPr="00F542EE" w:rsidRDefault="00F542EE" w:rsidP="00F542EE">
      <w:pPr>
        <w:widowControl/>
        <w:shd w:val="clear" w:color="auto" w:fill="FFFFFF"/>
        <w:snapToGrid w:val="0"/>
        <w:spacing w:before="200" w:line="288" w:lineRule="auto"/>
        <w:jc w:val="left"/>
        <w:rPr>
          <w:rFonts w:ascii="Times New Roman" w:eastAsia="宋体" w:hAnsi="Times New Roman" w:cs="Times New Roman"/>
          <w:kern w:val="0"/>
          <w:sz w:val="24"/>
          <w:szCs w:val="24"/>
        </w:rPr>
      </w:pPr>
      <w:r w:rsidRPr="00F542EE">
        <w:rPr>
          <w:rFonts w:ascii="Times New Roman" w:eastAsia="宋体" w:hAnsi="Times New Roman" w:cs="Times New Roman"/>
          <w:i/>
          <w:sz w:val="24"/>
          <w:szCs w:val="24"/>
        </w:rPr>
        <w:br w:type="page"/>
      </w:r>
      <w:r w:rsidRPr="00F542EE">
        <w:rPr>
          <w:rFonts w:ascii="Times New Roman" w:eastAsia="宋体" w:hAnsi="Times New Roman" w:cs="Calibri"/>
          <w:kern w:val="0"/>
          <w:sz w:val="24"/>
          <w:szCs w:val="24"/>
          <w:lang w:val="en"/>
        </w:rPr>
        <w:lastRenderedPageBreak/>
        <w:t>Attachment 2-</w:t>
      </w:r>
      <w:r w:rsidRPr="00F542EE">
        <w:rPr>
          <w:rFonts w:ascii="Times New Roman" w:eastAsia="宋体" w:hAnsi="Times New Roman" w:cs="Times New Roman"/>
          <w:kern w:val="0"/>
          <w:sz w:val="24"/>
          <w:szCs w:val="24"/>
        </w:rPr>
        <w:t>1</w:t>
      </w:r>
    </w:p>
    <w:p w:rsidR="00F542EE" w:rsidRPr="00F542EE" w:rsidRDefault="00F542EE" w:rsidP="00F542EE">
      <w:pPr>
        <w:widowControl/>
        <w:shd w:val="clear" w:color="auto" w:fill="FFFFFF"/>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 xml:space="preserve">No. 1 Soybean Delivery Quality Standard </w:t>
      </w:r>
      <w:r w:rsidRPr="00F542EE">
        <w:rPr>
          <w:rFonts w:ascii="Times New Roman" w:eastAsia="宋体" w:hAnsi="Times New Roman" w:cs="Arial" w:hint="eastAsia"/>
          <w:b/>
          <w:bCs/>
          <w:color w:val="333333"/>
          <w:kern w:val="0"/>
          <w:sz w:val="24"/>
          <w:szCs w:val="24"/>
        </w:rPr>
        <w:t>of</w:t>
      </w:r>
      <w:r w:rsidRPr="00F542EE">
        <w:rPr>
          <w:rFonts w:ascii="Times New Roman" w:eastAsia="宋体" w:hAnsi="Times New Roman" w:cs="Arial"/>
          <w:b/>
          <w:bCs/>
          <w:color w:val="333333"/>
          <w:kern w:val="0"/>
          <w:sz w:val="24"/>
          <w:szCs w:val="24"/>
        </w:rPr>
        <w:t xml:space="preserve"> Dalian Commodity Exchange ("DCE") </w:t>
      </w:r>
      <w:r w:rsidRPr="00F542EE">
        <w:rPr>
          <w:rFonts w:ascii="Times New Roman" w:eastAsia="宋体" w:hAnsi="Times New Roman" w:cs="Arial"/>
          <w:b/>
          <w:bCs/>
          <w:i/>
          <w:iCs/>
          <w:color w:val="333333"/>
          <w:kern w:val="0"/>
          <w:sz w:val="24"/>
          <w:szCs w:val="24"/>
        </w:rPr>
        <w:t xml:space="preserve">(F/DCE </w:t>
      </w:r>
      <w:r w:rsidRPr="00F542EE">
        <w:rPr>
          <w:rFonts w:ascii="Times New Roman" w:eastAsia="宋体" w:hAnsi="Times New Roman" w:cs="Arial" w:hint="eastAsia"/>
          <w:b/>
          <w:bCs/>
          <w:i/>
          <w:iCs/>
          <w:color w:val="333333"/>
          <w:kern w:val="0"/>
          <w:sz w:val="24"/>
          <w:szCs w:val="24"/>
        </w:rPr>
        <w:t>A</w:t>
      </w:r>
      <w:r w:rsidRPr="00F542EE">
        <w:rPr>
          <w:rFonts w:ascii="Times New Roman" w:eastAsia="宋体" w:hAnsi="Times New Roman" w:cs="Arial"/>
          <w:b/>
          <w:bCs/>
          <w:i/>
          <w:iCs/>
          <w:color w:val="333333"/>
          <w:kern w:val="0"/>
          <w:sz w:val="24"/>
          <w:szCs w:val="24"/>
        </w:rPr>
        <w:t>001-2024)</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Scope</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standard herein (the "</w:t>
      </w:r>
      <w:r w:rsidRPr="00F542EE">
        <w:rPr>
          <w:rFonts w:ascii="Times New Roman" w:eastAsia="宋体" w:hAnsi="Times New Roman" w:cs="Arial"/>
          <w:b/>
          <w:bCs/>
          <w:color w:val="333333"/>
          <w:kern w:val="0"/>
          <w:sz w:val="24"/>
          <w:szCs w:val="24"/>
        </w:rPr>
        <w:t>Standard</w:t>
      </w:r>
      <w:r w:rsidRPr="00F542EE">
        <w:rPr>
          <w:rFonts w:ascii="Times New Roman" w:eastAsia="宋体" w:hAnsi="Times New Roman" w:cs="Arial"/>
          <w:color w:val="333333"/>
          <w:kern w:val="0"/>
          <w:sz w:val="24"/>
          <w:szCs w:val="24"/>
        </w:rPr>
        <w:t>") stipulates the quality standards, classification standards and inspection methods for No. 1 soybean delivered at DCE.</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Standard applies to standard products and substitute products delivered under the No. 1 soybean futures contract of DCE.</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soybeans as stated in the Standard refer to those soybeans with yellow or pale yellow seed coat and whose navel is yellow-brown, light-brown, dark brown, black or in other colors.</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Cited rules and standards</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provisions of the following documents are incorporated as the provisions of the Standard by reference. For those cited documents noted with dates, all of their following amendments (excluding corrections) and revised versions shall not be applied to the Standard; for those without noted dates, their latest versions shall be applied to the Standard.</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i/>
          <w:iCs/>
          <w:color w:val="333333"/>
          <w:kern w:val="0"/>
          <w:sz w:val="24"/>
          <w:szCs w:val="24"/>
        </w:rPr>
      </w:pPr>
      <w:r w:rsidRPr="00F542EE">
        <w:rPr>
          <w:rFonts w:ascii="Times New Roman" w:eastAsia="宋体" w:hAnsi="Times New Roman" w:cs="Arial"/>
          <w:i/>
          <w:iCs/>
          <w:color w:val="333333"/>
          <w:kern w:val="0"/>
          <w:sz w:val="24"/>
          <w:szCs w:val="24"/>
        </w:rPr>
        <w:t>GB 1352-2023 Soybeans</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i/>
          <w:iCs/>
          <w:color w:val="333333"/>
          <w:kern w:val="0"/>
          <w:sz w:val="24"/>
          <w:szCs w:val="24"/>
        </w:rPr>
      </w:pPr>
      <w:r w:rsidRPr="00F542EE">
        <w:rPr>
          <w:rFonts w:ascii="Times New Roman" w:eastAsia="宋体" w:hAnsi="Times New Roman" w:cs="Arial"/>
          <w:i/>
          <w:iCs/>
          <w:color w:val="333333"/>
          <w:kern w:val="0"/>
          <w:sz w:val="24"/>
          <w:szCs w:val="24"/>
        </w:rPr>
        <w:t>State Administration of Grain [2000] No. 143: Rules for Grain and Oil Storage Quality Determination (for Trial Implementation)</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Terms and definitions</w:t>
      </w:r>
    </w:p>
    <w:p w:rsidR="00F542EE" w:rsidRPr="00F542EE" w:rsidRDefault="00F542EE" w:rsidP="00F542EE">
      <w:pPr>
        <w:widowControl/>
        <w:shd w:val="clear" w:color="auto" w:fill="FFFFFF"/>
        <w:snapToGrid w:val="0"/>
        <w:spacing w:before="200" w:line="288" w:lineRule="auto"/>
        <w:ind w:left="420"/>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Terms and definitions under this Standard shall be interpreted in accordance with   </w:t>
      </w:r>
      <w:r w:rsidRPr="00F542EE">
        <w:rPr>
          <w:rFonts w:ascii="Times New Roman" w:eastAsia="宋体" w:hAnsi="Times New Roman" w:cs="Arial"/>
          <w:i/>
          <w:iCs/>
          <w:color w:val="333333"/>
          <w:kern w:val="0"/>
          <w:sz w:val="24"/>
          <w:szCs w:val="24"/>
        </w:rPr>
        <w:t>GB 1352-2023</w:t>
      </w:r>
      <w:r w:rsidRPr="00F542EE">
        <w:rPr>
          <w:rFonts w:ascii="Times New Roman" w:eastAsia="宋体" w:hAnsi="Times New Roman" w:cs="Arial"/>
          <w:color w:val="333333"/>
          <w:kern w:val="0"/>
          <w:sz w:val="24"/>
          <w:szCs w:val="24"/>
        </w:rPr>
        <w:t xml:space="preserve"> and </w:t>
      </w:r>
      <w:r w:rsidRPr="00F542EE">
        <w:rPr>
          <w:rFonts w:ascii="Times New Roman" w:eastAsia="宋体" w:hAnsi="Times New Roman" w:cs="Arial"/>
          <w:i/>
          <w:iCs/>
          <w:color w:val="333333"/>
          <w:kern w:val="0"/>
          <w:sz w:val="24"/>
          <w:szCs w:val="24"/>
        </w:rPr>
        <w:t>State Administration of Grain [2000] No. 14</w:t>
      </w:r>
      <w:r w:rsidRPr="00F542EE">
        <w:rPr>
          <w:rFonts w:ascii="Times New Roman" w:eastAsia="宋体" w:hAnsi="Times New Roman" w:cs="Arial"/>
          <w:color w:val="333333"/>
          <w:kern w:val="0"/>
          <w:sz w:val="24"/>
          <w:szCs w:val="24"/>
        </w:rPr>
        <w:t>3.</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Quality requirements</w:t>
      </w:r>
    </w:p>
    <w:p w:rsidR="00F542EE" w:rsidRPr="00F542EE" w:rsidRDefault="00F542EE" w:rsidP="00F542EE">
      <w:pPr>
        <w:widowControl/>
        <w:numPr>
          <w:ilvl w:val="1"/>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Quality requirements for standard products of No.1 Soybean</w:t>
      </w:r>
    </w:p>
    <w:tbl>
      <w:tblPr>
        <w:tblW w:w="8790" w:type="dxa"/>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34"/>
        <w:gridCol w:w="1560"/>
        <w:gridCol w:w="992"/>
        <w:gridCol w:w="992"/>
        <w:gridCol w:w="1134"/>
        <w:gridCol w:w="992"/>
        <w:gridCol w:w="993"/>
        <w:gridCol w:w="993"/>
      </w:tblGrid>
      <w:tr w:rsidR="00F542EE" w:rsidRPr="00F542EE" w:rsidTr="0095350E">
        <w:tc>
          <w:tcPr>
            <w:tcW w:w="113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Perfect Kernels (%)</w:t>
            </w:r>
          </w:p>
        </w:tc>
        <w:tc>
          <w:tcPr>
            <w:tcW w:w="1560"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Seed Coat</w:t>
            </w:r>
          </w:p>
        </w:tc>
        <w:tc>
          <w:tcPr>
            <w:tcW w:w="1984" w:type="dxa"/>
            <w:gridSpan w:val="2"/>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Damaged Kernels (%)</w:t>
            </w:r>
          </w:p>
        </w:tc>
        <w:tc>
          <w:tcPr>
            <w:tcW w:w="113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Impurity (%)</w:t>
            </w:r>
          </w:p>
        </w:tc>
        <w:tc>
          <w:tcPr>
            <w:tcW w:w="992"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Moisture (%)</w:t>
            </w:r>
          </w:p>
        </w:tc>
        <w:tc>
          <w:tcPr>
            <w:tcW w:w="993"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Color and Odor</w:t>
            </w:r>
          </w:p>
        </w:tc>
        <w:tc>
          <w:tcPr>
            <w:tcW w:w="993"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shd w:val="clear" w:color="auto" w:fill="7F7F7F"/>
                <w:lang w:val="fr-FR"/>
              </w:rPr>
            </w:pPr>
            <w:r w:rsidRPr="00F542EE">
              <w:rPr>
                <w:rFonts w:ascii="Times New Roman" w:eastAsia="宋体" w:hAnsi="Times New Roman" w:cs="Arial"/>
                <w:b/>
                <w:bCs/>
                <w:color w:val="333333"/>
                <w:kern w:val="0"/>
                <w:sz w:val="24"/>
                <w:szCs w:val="24"/>
                <w:lang w:val="fr-FR"/>
              </w:rPr>
              <w:t xml:space="preserve">Protein </w:t>
            </w:r>
            <w:r w:rsidRPr="00F542EE">
              <w:rPr>
                <w:rFonts w:ascii="Times New Roman" w:eastAsia="宋体" w:hAnsi="Times New Roman" w:cs="Arial"/>
                <w:b/>
                <w:bCs/>
                <w:color w:val="333333"/>
                <w:kern w:val="0"/>
                <w:sz w:val="24"/>
                <w:szCs w:val="24"/>
              </w:rPr>
              <w:t>Content</w:t>
            </w:r>
            <w:r w:rsidRPr="00F542EE">
              <w:rPr>
                <w:rFonts w:ascii="Times New Roman" w:eastAsia="宋体" w:hAnsi="Times New Roman" w:cs="Arial"/>
                <w:b/>
                <w:bCs/>
                <w:color w:val="333333"/>
                <w:kern w:val="0"/>
                <w:sz w:val="24"/>
                <w:szCs w:val="24"/>
                <w:lang w:val="fr-FR"/>
              </w:rPr>
              <w:t xml:space="preserve"> (g/100g)</w:t>
            </w:r>
          </w:p>
        </w:tc>
      </w:tr>
      <w:tr w:rsidR="00F542EE" w:rsidRPr="00F542EE" w:rsidTr="0095350E">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lang w:val="fr-FR"/>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lang w:val="fr-FR"/>
              </w:rPr>
            </w:pPr>
          </w:p>
        </w:tc>
        <w:tc>
          <w:tcPr>
            <w:tcW w:w="992"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Total</w:t>
            </w:r>
          </w:p>
        </w:tc>
        <w:tc>
          <w:tcPr>
            <w:tcW w:w="992"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Heat Damaged Kernels</w:t>
            </w: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993" w:type="dxa"/>
            <w:vMerge/>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shd w:val="clear" w:color="auto" w:fill="7F7F7F"/>
              </w:rPr>
            </w:pPr>
          </w:p>
        </w:tc>
      </w:tr>
      <w:tr w:rsidR="00F542EE" w:rsidRPr="00F542EE" w:rsidTr="0095350E">
        <w:trPr>
          <w:trHeight w:val="1510"/>
        </w:trPr>
        <w:tc>
          <w:tcPr>
            <w:tcW w:w="1134"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lastRenderedPageBreak/>
              <w:t>≥</w:t>
            </w:r>
            <w:r w:rsidRPr="00F542EE">
              <w:rPr>
                <w:rFonts w:ascii="Times New Roman" w:eastAsia="宋体" w:hAnsi="Times New Roman" w:cs="Arial"/>
                <w:color w:val="333333"/>
                <w:kern w:val="0"/>
                <w:sz w:val="24"/>
                <w:szCs w:val="24"/>
              </w:rPr>
              <w:t>85.0</w:t>
            </w:r>
          </w:p>
        </w:tc>
        <w:tc>
          <w:tcPr>
            <w:tcW w:w="1560"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Yellow or pale yellow; kernels in other colors less than 5.0%</w:t>
            </w:r>
          </w:p>
        </w:tc>
        <w:tc>
          <w:tcPr>
            <w:tcW w:w="992"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3.0</w:t>
            </w:r>
          </w:p>
        </w:tc>
        <w:tc>
          <w:tcPr>
            <w:tcW w:w="992"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0.5</w:t>
            </w:r>
          </w:p>
        </w:tc>
        <w:tc>
          <w:tcPr>
            <w:tcW w:w="1134"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1.0</w:t>
            </w:r>
          </w:p>
        </w:tc>
        <w:tc>
          <w:tcPr>
            <w:tcW w:w="992" w:type="dxa"/>
            <w:vAlign w:val="center"/>
          </w:tcPr>
          <w:p w:rsidR="00F542EE" w:rsidRPr="00F542EE" w:rsidRDefault="00F542EE" w:rsidP="00F542EE">
            <w:pPr>
              <w:widowControl/>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13.0</w:t>
            </w:r>
          </w:p>
        </w:tc>
        <w:tc>
          <w:tcPr>
            <w:tcW w:w="993"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Normal</w:t>
            </w:r>
          </w:p>
        </w:tc>
        <w:tc>
          <w:tcPr>
            <w:tcW w:w="993"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39.0</w:t>
            </w:r>
            <w:r w:rsidRPr="00F542EE">
              <w:rPr>
                <w:rFonts w:ascii="Times New Roman" w:eastAsia="宋体" w:hAnsi="Times New Roman" w:cs="Times New Roman" w:hint="eastAsia"/>
                <w:color w:val="333333"/>
                <w:kern w:val="0"/>
                <w:sz w:val="24"/>
                <w:szCs w:val="24"/>
              </w:rPr>
              <w:t xml:space="preserve"> </w:t>
            </w:r>
            <w:r w:rsidRPr="00F542EE">
              <w:rPr>
                <w:rFonts w:ascii="Times New Roman" w:eastAsia="宋体" w:hAnsi="Times New Roman" w:cs="Arial"/>
                <w:color w:val="333333"/>
                <w:kern w:val="0"/>
                <w:sz w:val="24"/>
                <w:szCs w:val="24"/>
              </w:rPr>
              <w:t>and</w:t>
            </w:r>
            <w:r w:rsidRPr="00F542EE">
              <w:rPr>
                <w:rFonts w:ascii="Times New Roman" w:eastAsia="宋体" w:hAnsi="Times New Roman" w:cs="Arial" w:hint="eastAsia"/>
                <w:color w:val="333333"/>
                <w:kern w:val="0"/>
                <w:sz w:val="24"/>
                <w:szCs w:val="24"/>
              </w:rPr>
              <w:t xml:space="preserve">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40.0</w:t>
            </w:r>
          </w:p>
        </w:tc>
      </w:tr>
    </w:tbl>
    <w:p w:rsidR="00F542EE" w:rsidRPr="00F542EE" w:rsidRDefault="00F542EE" w:rsidP="00F542EE">
      <w:pPr>
        <w:widowControl/>
        <w:shd w:val="clear" w:color="auto" w:fill="FFFFFF"/>
        <w:snapToGrid w:val="0"/>
        <w:spacing w:before="200" w:line="288" w:lineRule="auto"/>
        <w:ind w:left="709"/>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Note: In accordance with </w:t>
      </w:r>
      <w:r w:rsidRPr="00F542EE">
        <w:rPr>
          <w:rFonts w:ascii="Times New Roman" w:eastAsia="宋体" w:hAnsi="Times New Roman" w:cs="Arial"/>
          <w:i/>
          <w:iCs/>
          <w:color w:val="333333"/>
          <w:kern w:val="0"/>
          <w:sz w:val="24"/>
          <w:szCs w:val="24"/>
        </w:rPr>
        <w:t>GB 1352-</w:t>
      </w:r>
      <w:r w:rsidRPr="00F542EE">
        <w:rPr>
          <w:rFonts w:ascii="Times New Roman" w:eastAsia="仿宋_GB2312" w:hAnsi="Times New Roman" w:cs="Times New Roman"/>
          <w:i/>
          <w:iCs/>
          <w:color w:val="333333"/>
          <w:sz w:val="24"/>
          <w:szCs w:val="24"/>
        </w:rPr>
        <w:t>2023</w:t>
      </w:r>
      <w:r w:rsidRPr="00F542EE">
        <w:rPr>
          <w:rFonts w:ascii="Times New Roman" w:eastAsia="仿宋_GB2312" w:hAnsi="Times New Roman" w:cs="Times New Roman"/>
          <w:color w:val="333333"/>
          <w:sz w:val="24"/>
          <w:szCs w:val="24"/>
        </w:rPr>
        <w:t>,</w:t>
      </w:r>
      <w:r w:rsidRPr="00F542EE">
        <w:rPr>
          <w:rFonts w:ascii="Times New Roman" w:eastAsia="仿宋_GB2312" w:hAnsi="Times New Roman" w:cs="Times New Roman"/>
          <w:i/>
          <w:iCs/>
          <w:color w:val="333333"/>
          <w:sz w:val="24"/>
          <w:szCs w:val="24"/>
        </w:rPr>
        <w:t xml:space="preserve"> </w:t>
      </w:r>
      <w:r w:rsidRPr="00F542EE">
        <w:rPr>
          <w:rFonts w:ascii="Times New Roman" w:eastAsia="宋体" w:hAnsi="Times New Roman" w:cs="Arial" w:hint="eastAsia"/>
          <w:color w:val="333333"/>
          <w:kern w:val="0"/>
          <w:sz w:val="24"/>
          <w:szCs w:val="24"/>
        </w:rPr>
        <w:t xml:space="preserve">the </w:t>
      </w:r>
      <w:r w:rsidRPr="00F542EE">
        <w:rPr>
          <w:rFonts w:ascii="Times New Roman" w:eastAsia="宋体" w:hAnsi="Times New Roman" w:cs="Arial"/>
          <w:color w:val="333333"/>
          <w:kern w:val="0"/>
          <w:sz w:val="24"/>
          <w:szCs w:val="24"/>
        </w:rPr>
        <w:t>coefficient of converting nitrogen to protein shall be 6.25 when calculating the protein content of No. 1 soybean.</w:t>
      </w:r>
    </w:p>
    <w:p w:rsidR="00F542EE" w:rsidRPr="00F542EE" w:rsidRDefault="00F542EE" w:rsidP="00F542EE">
      <w:pPr>
        <w:widowControl/>
        <w:numPr>
          <w:ilvl w:val="1"/>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Premium/discount by quality difference</w:t>
      </w:r>
    </w:p>
    <w:tbl>
      <w:tblPr>
        <w:tblW w:w="7797" w:type="dxa"/>
        <w:tblInd w:w="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15"/>
        <w:gridCol w:w="1104"/>
        <w:gridCol w:w="1524"/>
        <w:gridCol w:w="1976"/>
        <w:gridCol w:w="1978"/>
      </w:tblGrid>
      <w:tr w:rsidR="00F542EE" w:rsidRPr="00F542EE" w:rsidTr="0095350E">
        <w:tc>
          <w:tcPr>
            <w:tcW w:w="2319" w:type="dxa"/>
            <w:gridSpan w:val="2"/>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Item</w:t>
            </w:r>
          </w:p>
        </w:tc>
        <w:tc>
          <w:tcPr>
            <w:tcW w:w="1524"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Standard product quality requirements</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Substitute product quality requirements</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Premium/Discount (CNY/MT)</w:t>
            </w:r>
          </w:p>
        </w:tc>
      </w:tr>
      <w:tr w:rsidR="00F542EE" w:rsidRPr="00F542EE" w:rsidTr="0095350E">
        <w:tc>
          <w:tcPr>
            <w:tcW w:w="2319" w:type="dxa"/>
            <w:gridSpan w:val="2"/>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 xml:space="preserve">Perfect Kernels </w:t>
            </w:r>
            <w:r w:rsidRPr="00F542EE">
              <w:rPr>
                <w:rFonts w:ascii="Times New Roman" w:eastAsia="宋体" w:hAnsi="Times New Roman" w:cs="Arial" w:hint="eastAsia"/>
                <w:b/>
                <w:bCs/>
                <w:color w:val="333333"/>
                <w:kern w:val="0"/>
                <w:sz w:val="24"/>
                <w:szCs w:val="24"/>
              </w:rPr>
              <w:t>(</w:t>
            </w:r>
            <w:r w:rsidRPr="00F542EE">
              <w:rPr>
                <w:rFonts w:ascii="Times New Roman" w:eastAsia="宋体" w:hAnsi="Times New Roman" w:cs="Arial"/>
                <w:b/>
                <w:bCs/>
                <w:color w:val="333333"/>
                <w:kern w:val="0"/>
                <w:sz w:val="24"/>
                <w:szCs w:val="24"/>
              </w:rPr>
              <w:t>%)</w:t>
            </w:r>
          </w:p>
        </w:tc>
        <w:tc>
          <w:tcPr>
            <w:tcW w:w="152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85.0</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90.0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10</w:t>
            </w:r>
          </w:p>
        </w:tc>
      </w:tr>
      <w:tr w:rsidR="00F542EE" w:rsidRPr="00F542EE" w:rsidTr="0095350E">
        <w:tc>
          <w:tcPr>
            <w:tcW w:w="0" w:type="auto"/>
            <w:gridSpan w:val="2"/>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color w:val="333333"/>
                <w:kern w:val="0"/>
                <w:sz w:val="24"/>
                <w:szCs w:val="24"/>
              </w:rPr>
            </w:pP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80.0 and &lt;85.0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-40</w:t>
            </w:r>
          </w:p>
        </w:tc>
      </w:tr>
      <w:tr w:rsidR="00F542EE" w:rsidRPr="00F542EE" w:rsidTr="0095350E">
        <w:tc>
          <w:tcPr>
            <w:tcW w:w="1215"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 xml:space="preserve">Damaged Kernels </w:t>
            </w:r>
            <w:r w:rsidRPr="00F542EE">
              <w:rPr>
                <w:rFonts w:ascii="Times New Roman" w:eastAsia="宋体" w:hAnsi="Times New Roman" w:cs="Arial" w:hint="eastAsia"/>
                <w:b/>
                <w:bCs/>
                <w:color w:val="333333"/>
                <w:kern w:val="0"/>
                <w:sz w:val="24"/>
                <w:szCs w:val="24"/>
              </w:rPr>
              <w:t>(</w:t>
            </w:r>
            <w:r w:rsidRPr="00F542EE">
              <w:rPr>
                <w:rFonts w:ascii="Times New Roman" w:eastAsia="宋体" w:hAnsi="Times New Roman" w:cs="Arial"/>
                <w:b/>
                <w:bCs/>
                <w:color w:val="333333"/>
                <w:kern w:val="0"/>
                <w:sz w:val="24"/>
                <w:szCs w:val="24"/>
              </w:rPr>
              <w:t>%)</w:t>
            </w:r>
          </w:p>
        </w:tc>
        <w:tc>
          <w:tcPr>
            <w:tcW w:w="110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Total</w:t>
            </w:r>
          </w:p>
        </w:tc>
        <w:tc>
          <w:tcPr>
            <w:tcW w:w="152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3.0</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Arial" w:cs="Arial" w:hint="eastAsia"/>
                <w:color w:val="333333"/>
                <w:kern w:val="0"/>
                <w:sz w:val="24"/>
                <w:szCs w:val="24"/>
              </w:rPr>
              <w:t>＞</w:t>
            </w:r>
            <w:r w:rsidRPr="00F542EE">
              <w:rPr>
                <w:rFonts w:ascii="Times New Roman" w:eastAsia="宋体" w:hAnsi="Times New Roman" w:cs="Arial"/>
                <w:color w:val="333333"/>
                <w:kern w:val="0"/>
                <w:sz w:val="24"/>
                <w:szCs w:val="24"/>
              </w:rPr>
              <w:t xml:space="preserve">3.0 and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8.0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0</w:t>
            </w:r>
          </w:p>
        </w:tc>
      </w:tr>
      <w:tr w:rsidR="00F542EE" w:rsidRPr="00F542EE" w:rsidTr="0095350E">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color w:val="333333"/>
                <w:kern w:val="0"/>
                <w:sz w:val="24"/>
                <w:szCs w:val="24"/>
              </w:rPr>
            </w:pP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&gt;8.0 and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10.0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-20</w:t>
            </w:r>
          </w:p>
        </w:tc>
      </w:tr>
      <w:tr w:rsidR="00F542EE" w:rsidRPr="00F542EE" w:rsidTr="0095350E">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1104"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Heat Damaged Kernels</w:t>
            </w:r>
          </w:p>
        </w:tc>
        <w:tc>
          <w:tcPr>
            <w:tcW w:w="1524"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0.5</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Arial" w:cs="Arial" w:hint="eastAsia"/>
                <w:color w:val="333333"/>
                <w:kern w:val="0"/>
                <w:sz w:val="24"/>
                <w:szCs w:val="24"/>
              </w:rPr>
              <w:t>＞</w:t>
            </w:r>
            <w:r w:rsidRPr="00F542EE">
              <w:rPr>
                <w:rFonts w:ascii="Times New Roman" w:eastAsia="宋体" w:hAnsi="Times New Roman" w:cs="Arial"/>
                <w:color w:val="333333"/>
                <w:kern w:val="0"/>
                <w:sz w:val="24"/>
                <w:szCs w:val="24"/>
              </w:rPr>
              <w:t xml:space="preserve">0.5 and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3.0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0</w:t>
            </w:r>
          </w:p>
        </w:tc>
      </w:tr>
      <w:tr w:rsidR="00F542EE" w:rsidRPr="00F542EE" w:rsidTr="0095350E">
        <w:tc>
          <w:tcPr>
            <w:tcW w:w="2319" w:type="dxa"/>
            <w:gridSpan w:val="2"/>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rPr>
            </w:pPr>
            <w:r w:rsidRPr="00F542EE">
              <w:rPr>
                <w:rFonts w:ascii="Times New Roman" w:eastAsia="宋体" w:hAnsi="Times New Roman" w:cs="Arial"/>
                <w:b/>
                <w:bCs/>
                <w:color w:val="333333"/>
                <w:kern w:val="0"/>
                <w:sz w:val="24"/>
                <w:szCs w:val="24"/>
              </w:rPr>
              <w:t xml:space="preserve">Moisture </w:t>
            </w:r>
            <w:r w:rsidRPr="00F542EE">
              <w:rPr>
                <w:rFonts w:ascii="Times New Roman" w:eastAsia="宋体" w:hAnsi="Times New Roman" w:cs="Arial" w:hint="eastAsia"/>
                <w:b/>
                <w:bCs/>
                <w:color w:val="333333"/>
                <w:kern w:val="0"/>
                <w:sz w:val="24"/>
                <w:szCs w:val="24"/>
              </w:rPr>
              <w:t>(</w:t>
            </w:r>
            <w:r w:rsidRPr="00F542EE">
              <w:rPr>
                <w:rFonts w:ascii="Times New Roman" w:eastAsia="宋体" w:hAnsi="Times New Roman" w:cs="Arial"/>
                <w:b/>
                <w:bCs/>
                <w:color w:val="333333"/>
                <w:kern w:val="0"/>
                <w:sz w:val="24"/>
                <w:szCs w:val="24"/>
              </w:rPr>
              <w:t>%)</w:t>
            </w:r>
          </w:p>
        </w:tc>
        <w:tc>
          <w:tcPr>
            <w:tcW w:w="1524"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13.0</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&gt;13.0 and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Arial"/>
                <w:color w:val="333333"/>
                <w:kern w:val="0"/>
                <w:sz w:val="24"/>
                <w:szCs w:val="24"/>
              </w:rPr>
              <w:t>14.0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-60</w:t>
            </w:r>
          </w:p>
        </w:tc>
      </w:tr>
      <w:tr w:rsidR="00F542EE" w:rsidRPr="00F542EE" w:rsidTr="0095350E">
        <w:tc>
          <w:tcPr>
            <w:tcW w:w="2319" w:type="dxa"/>
            <w:gridSpan w:val="2"/>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b/>
                <w:bCs/>
                <w:color w:val="333333"/>
                <w:kern w:val="0"/>
                <w:sz w:val="24"/>
                <w:szCs w:val="24"/>
                <w:lang w:val="fr-FR"/>
              </w:rPr>
            </w:pPr>
            <w:r w:rsidRPr="00F542EE">
              <w:rPr>
                <w:rFonts w:ascii="Times New Roman" w:eastAsia="宋体" w:hAnsi="Times New Roman" w:cs="Arial"/>
                <w:b/>
                <w:bCs/>
                <w:color w:val="333333"/>
                <w:kern w:val="0"/>
                <w:sz w:val="24"/>
                <w:szCs w:val="24"/>
                <w:lang w:val="fr-FR"/>
              </w:rPr>
              <w:t>Protein Content (g/100g)</w:t>
            </w:r>
          </w:p>
        </w:tc>
        <w:tc>
          <w:tcPr>
            <w:tcW w:w="1524" w:type="dxa"/>
            <w:vMerge w:val="restart"/>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39.0</w:t>
            </w:r>
            <w:r w:rsidRPr="00F542EE">
              <w:rPr>
                <w:rFonts w:ascii="Times New Roman" w:eastAsia="宋体" w:hAnsi="Times New Roman" w:cs="Times New Roman" w:hint="eastAsia"/>
                <w:color w:val="333333"/>
                <w:kern w:val="0"/>
                <w:sz w:val="24"/>
                <w:szCs w:val="24"/>
              </w:rPr>
              <w:t xml:space="preserve"> </w:t>
            </w:r>
            <w:r w:rsidRPr="00F542EE">
              <w:rPr>
                <w:rFonts w:ascii="Times New Roman" w:eastAsia="宋体" w:hAnsi="Times New Roman" w:cs="Arial"/>
                <w:color w:val="333333"/>
                <w:kern w:val="0"/>
                <w:sz w:val="24"/>
                <w:szCs w:val="24"/>
              </w:rPr>
              <w:t>and</w:t>
            </w:r>
            <w:r w:rsidRPr="00F542EE">
              <w:rPr>
                <w:rFonts w:ascii="Times New Roman" w:eastAsia="宋体" w:hAnsi="Times New Roman" w:cs="Arial" w:hint="eastAsia"/>
                <w:color w:val="333333"/>
                <w:kern w:val="0"/>
                <w:sz w:val="24"/>
                <w:szCs w:val="24"/>
              </w:rPr>
              <w:t xml:space="preserve">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40.0</w:t>
            </w: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40.0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30</w:t>
            </w:r>
          </w:p>
        </w:tc>
      </w:tr>
      <w:tr w:rsidR="00F542EE" w:rsidRPr="00F542EE" w:rsidTr="0095350E">
        <w:tc>
          <w:tcPr>
            <w:tcW w:w="0" w:type="auto"/>
            <w:gridSpan w:val="2"/>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color w:val="333333"/>
                <w:kern w:val="0"/>
                <w:sz w:val="24"/>
                <w:szCs w:val="24"/>
              </w:rPr>
            </w:pP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38.0</w:t>
            </w:r>
            <w:r w:rsidRPr="00F542EE">
              <w:rPr>
                <w:rFonts w:ascii="Times New Roman" w:eastAsia="宋体" w:hAnsi="Times New Roman" w:cs="Times New Roman" w:hint="eastAsia"/>
                <w:color w:val="333333"/>
                <w:kern w:val="0"/>
                <w:sz w:val="24"/>
                <w:szCs w:val="24"/>
              </w:rPr>
              <w:t xml:space="preserve"> </w:t>
            </w:r>
            <w:r w:rsidRPr="00F542EE">
              <w:rPr>
                <w:rFonts w:ascii="Times New Roman" w:eastAsia="宋体" w:hAnsi="Times New Roman" w:cs="Arial"/>
                <w:color w:val="333333"/>
                <w:kern w:val="0"/>
                <w:sz w:val="24"/>
                <w:szCs w:val="24"/>
              </w:rPr>
              <w:t>and</w:t>
            </w:r>
            <w:r w:rsidRPr="00F542EE">
              <w:rPr>
                <w:rFonts w:ascii="Times New Roman" w:eastAsia="宋体" w:hAnsi="Times New Roman" w:cs="Arial" w:hint="eastAsia"/>
                <w:color w:val="333333"/>
                <w:kern w:val="0"/>
                <w:sz w:val="24"/>
                <w:szCs w:val="24"/>
              </w:rPr>
              <w:t xml:space="preserve">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39.0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-80</w:t>
            </w:r>
          </w:p>
        </w:tc>
      </w:tr>
      <w:tr w:rsidR="00F542EE" w:rsidRPr="00F542EE" w:rsidTr="0095350E">
        <w:tc>
          <w:tcPr>
            <w:tcW w:w="0" w:type="auto"/>
            <w:gridSpan w:val="2"/>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b/>
                <w:bCs/>
                <w:color w:val="333333"/>
                <w:kern w:val="0"/>
                <w:sz w:val="24"/>
                <w:szCs w:val="24"/>
              </w:rPr>
            </w:pPr>
          </w:p>
        </w:tc>
        <w:tc>
          <w:tcPr>
            <w:tcW w:w="0" w:type="auto"/>
            <w:vMerge/>
            <w:vAlign w:val="center"/>
          </w:tcPr>
          <w:p w:rsidR="00F542EE" w:rsidRPr="00F542EE" w:rsidRDefault="00F542EE" w:rsidP="00F542EE">
            <w:pPr>
              <w:widowControl/>
              <w:snapToGrid w:val="0"/>
              <w:spacing w:before="200" w:line="288" w:lineRule="auto"/>
              <w:jc w:val="left"/>
              <w:rPr>
                <w:rFonts w:ascii="Times New Roman" w:eastAsia="宋体" w:hAnsi="Times New Roman" w:cs="Arial"/>
                <w:color w:val="333333"/>
                <w:kern w:val="0"/>
                <w:sz w:val="24"/>
                <w:szCs w:val="24"/>
              </w:rPr>
            </w:pPr>
          </w:p>
        </w:tc>
        <w:tc>
          <w:tcPr>
            <w:tcW w:w="1976"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37.0</w:t>
            </w:r>
            <w:r w:rsidRPr="00F542EE">
              <w:rPr>
                <w:rFonts w:ascii="Times New Roman" w:eastAsia="宋体" w:hAnsi="Times New Roman" w:cs="Times New Roman" w:hint="eastAsia"/>
                <w:color w:val="333333"/>
                <w:kern w:val="0"/>
                <w:sz w:val="24"/>
                <w:szCs w:val="24"/>
              </w:rPr>
              <w:t xml:space="preserve"> </w:t>
            </w:r>
            <w:r w:rsidRPr="00F542EE">
              <w:rPr>
                <w:rFonts w:ascii="Times New Roman" w:eastAsia="宋体" w:hAnsi="Times New Roman" w:cs="Arial"/>
                <w:color w:val="333333"/>
                <w:kern w:val="0"/>
                <w:sz w:val="24"/>
                <w:szCs w:val="24"/>
              </w:rPr>
              <w:t>and</w:t>
            </w:r>
            <w:r w:rsidRPr="00F542EE">
              <w:rPr>
                <w:rFonts w:ascii="Times New Roman" w:eastAsia="宋体" w:hAnsi="Times New Roman" w:cs="Arial" w:hint="eastAsia"/>
                <w:color w:val="333333"/>
                <w:kern w:val="0"/>
                <w:sz w:val="24"/>
                <w:szCs w:val="24"/>
              </w:rPr>
              <w:t xml:space="preserve"> </w:t>
            </w:r>
            <w:r w:rsidRPr="00F542EE">
              <w:rPr>
                <w:rFonts w:ascii="Times New Roman" w:eastAsia="宋体" w:hAnsi="Times New Roman" w:cs="Arial" w:hint="eastAsia"/>
                <w:color w:val="333333"/>
                <w:kern w:val="0"/>
                <w:sz w:val="24"/>
                <w:szCs w:val="24"/>
              </w:rPr>
              <w:t>＜</w:t>
            </w:r>
            <w:r w:rsidRPr="00F542EE">
              <w:rPr>
                <w:rFonts w:ascii="Times New Roman" w:eastAsia="宋体" w:hAnsi="Times New Roman" w:cs="Times New Roman"/>
                <w:color w:val="333333"/>
                <w:kern w:val="0"/>
                <w:sz w:val="24"/>
                <w:szCs w:val="24"/>
              </w:rPr>
              <w:t>38.0</w:t>
            </w:r>
          </w:p>
        </w:tc>
        <w:tc>
          <w:tcPr>
            <w:tcW w:w="1978" w:type="dxa"/>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hint="eastAsia"/>
                <w:color w:val="333333"/>
                <w:kern w:val="0"/>
                <w:sz w:val="24"/>
                <w:szCs w:val="24"/>
              </w:rPr>
              <w:t>-160</w:t>
            </w:r>
          </w:p>
        </w:tc>
      </w:tr>
    </w:tbl>
    <w:p w:rsidR="00F542EE" w:rsidRPr="00F542EE" w:rsidRDefault="00F542EE" w:rsidP="00F542EE">
      <w:pPr>
        <w:widowControl/>
        <w:shd w:val="clear" w:color="auto" w:fill="FFFFFF"/>
        <w:snapToGrid w:val="0"/>
        <w:spacing w:before="200" w:line="288" w:lineRule="auto"/>
        <w:ind w:left="616"/>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Note: In accordance with </w:t>
      </w:r>
      <w:r w:rsidRPr="00F542EE">
        <w:rPr>
          <w:rFonts w:ascii="Times New Roman" w:eastAsia="宋体" w:hAnsi="Times New Roman" w:cs="Arial"/>
          <w:i/>
          <w:iCs/>
          <w:color w:val="333333"/>
          <w:kern w:val="0"/>
          <w:sz w:val="24"/>
          <w:szCs w:val="24"/>
        </w:rPr>
        <w:t>GB 1352-</w:t>
      </w:r>
      <w:r w:rsidRPr="00F542EE">
        <w:rPr>
          <w:rFonts w:ascii="Times New Roman" w:eastAsia="仿宋_GB2312" w:hAnsi="Times New Roman" w:cs="Times New Roman"/>
          <w:i/>
          <w:iCs/>
          <w:color w:val="333333"/>
          <w:sz w:val="24"/>
          <w:szCs w:val="24"/>
        </w:rPr>
        <w:t>2023</w:t>
      </w:r>
      <w:r w:rsidRPr="00F542EE">
        <w:rPr>
          <w:rFonts w:ascii="Times New Roman" w:eastAsia="仿宋_GB2312" w:hAnsi="Times New Roman" w:cs="Times New Roman"/>
          <w:color w:val="333333"/>
          <w:sz w:val="24"/>
          <w:szCs w:val="24"/>
        </w:rPr>
        <w:t>,</w:t>
      </w:r>
      <w:r w:rsidRPr="00F542EE">
        <w:rPr>
          <w:rFonts w:ascii="Times New Roman" w:eastAsia="仿宋_GB2312" w:hAnsi="Times New Roman" w:cs="Times New Roman"/>
          <w:i/>
          <w:iCs/>
          <w:color w:val="333333"/>
          <w:sz w:val="24"/>
          <w:szCs w:val="24"/>
        </w:rPr>
        <w:t xml:space="preserve"> </w:t>
      </w:r>
      <w:r w:rsidRPr="00F542EE">
        <w:rPr>
          <w:rFonts w:ascii="Times New Roman" w:eastAsia="宋体" w:hAnsi="Times New Roman" w:cs="Arial" w:hint="eastAsia"/>
          <w:color w:val="333333"/>
          <w:kern w:val="0"/>
          <w:sz w:val="24"/>
          <w:szCs w:val="24"/>
        </w:rPr>
        <w:t xml:space="preserve">the </w:t>
      </w:r>
      <w:r w:rsidRPr="00F542EE">
        <w:rPr>
          <w:rFonts w:ascii="Times New Roman" w:eastAsia="宋体" w:hAnsi="Times New Roman" w:cs="Arial"/>
          <w:color w:val="333333"/>
          <w:kern w:val="0"/>
          <w:sz w:val="24"/>
          <w:szCs w:val="24"/>
        </w:rPr>
        <w:t>coefficient of converting nitrogen to protein shall be 6.25 when calculating the protein content of No. 1 soybean.</w:t>
      </w:r>
    </w:p>
    <w:p w:rsidR="00F542EE" w:rsidRPr="00F542EE" w:rsidRDefault="00F542EE" w:rsidP="00F542EE">
      <w:pPr>
        <w:widowControl/>
        <w:numPr>
          <w:ilvl w:val="1"/>
          <w:numId w:val="2"/>
        </w:numPr>
        <w:shd w:val="clear" w:color="auto" w:fill="FFFFFF"/>
        <w:snapToGrid w:val="0"/>
        <w:spacing w:before="200" w:line="288" w:lineRule="auto"/>
        <w:ind w:left="629" w:hanging="629"/>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qualified rate shall be equal to or more than 95% through a 4.0 mm long-mouth sieve.</w:t>
      </w:r>
    </w:p>
    <w:p w:rsidR="00F542EE" w:rsidRPr="00F542EE" w:rsidRDefault="00F542EE" w:rsidP="00F542EE">
      <w:pPr>
        <w:widowControl/>
        <w:numPr>
          <w:ilvl w:val="1"/>
          <w:numId w:val="2"/>
        </w:numPr>
        <w:shd w:val="clear" w:color="auto" w:fill="FFFFFF"/>
        <w:snapToGrid w:val="0"/>
        <w:spacing w:before="200" w:line="288" w:lineRule="auto"/>
        <w:ind w:left="629" w:hanging="629"/>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Genetically modified soybean</w:t>
      </w:r>
      <w:r w:rsidRPr="00F542EE">
        <w:rPr>
          <w:rFonts w:ascii="Times New Roman" w:eastAsia="宋体" w:hAnsi="Times New Roman" w:cs="Arial" w:hint="eastAsia"/>
          <w:color w:val="333333"/>
          <w:kern w:val="0"/>
          <w:sz w:val="24"/>
          <w:szCs w:val="24"/>
        </w:rPr>
        <w:t>s</w:t>
      </w:r>
      <w:r w:rsidRPr="00F542EE">
        <w:rPr>
          <w:rFonts w:ascii="Times New Roman" w:eastAsia="宋体" w:hAnsi="Times New Roman" w:cs="Arial"/>
          <w:color w:val="333333"/>
          <w:kern w:val="0"/>
          <w:sz w:val="24"/>
          <w:szCs w:val="24"/>
        </w:rPr>
        <w:t xml:space="preserve"> are not permitted to be delivered as standard products or substitutes.</w:t>
      </w:r>
    </w:p>
    <w:p w:rsidR="00F542EE" w:rsidRPr="00F542EE" w:rsidRDefault="00F542EE" w:rsidP="00F542EE">
      <w:pPr>
        <w:widowControl/>
        <w:numPr>
          <w:ilvl w:val="1"/>
          <w:numId w:val="2"/>
        </w:numPr>
        <w:shd w:val="clear" w:color="auto" w:fill="FFFFFF"/>
        <w:snapToGrid w:val="0"/>
        <w:spacing w:before="200" w:line="288" w:lineRule="auto"/>
        <w:ind w:left="629" w:hanging="629"/>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Technical requirement of storage quality</w:t>
      </w:r>
    </w:p>
    <w:tbl>
      <w:tblPr>
        <w:tblW w:w="9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28"/>
        <w:gridCol w:w="2665"/>
        <w:gridCol w:w="2788"/>
      </w:tblGrid>
      <w:tr w:rsidR="00F542EE" w:rsidRPr="00F542EE" w:rsidTr="0095350E">
        <w:trPr>
          <w:trHeight w:val="1166"/>
        </w:trPr>
        <w:tc>
          <w:tcPr>
            <w:tcW w:w="3728" w:type="dxa"/>
            <w:tcBorders>
              <w:top w:val="single" w:sz="4" w:space="0" w:color="auto"/>
              <w:left w:val="single" w:sz="4" w:space="0" w:color="auto"/>
              <w:bottom w:val="single" w:sz="4" w:space="0" w:color="auto"/>
              <w:right w:val="single" w:sz="4" w:space="0" w:color="auto"/>
            </w:tcBorders>
            <w:vAlign w:val="center"/>
          </w:tcPr>
          <w:p w:rsidR="00F542EE" w:rsidRPr="00F542EE" w:rsidRDefault="00F542EE" w:rsidP="00F542EE">
            <w:pPr>
              <w:widowControl/>
              <w:snapToGrid w:val="0"/>
              <w:spacing w:before="200" w:line="288" w:lineRule="auto"/>
              <w:ind w:left="420"/>
              <w:jc w:val="center"/>
              <w:rPr>
                <w:rFonts w:ascii="Arial" w:eastAsia="宋体" w:hAnsi="Arial" w:cs="Arial"/>
                <w:sz w:val="24"/>
                <w:szCs w:val="24"/>
              </w:rPr>
            </w:pPr>
          </w:p>
        </w:tc>
        <w:tc>
          <w:tcPr>
            <w:tcW w:w="2665"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Load-in</w:t>
            </w:r>
          </w:p>
        </w:tc>
        <w:tc>
          <w:tcPr>
            <w:tcW w:w="2788"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Load-out</w:t>
            </w:r>
          </w:p>
        </w:tc>
      </w:tr>
      <w:tr w:rsidR="00F542EE" w:rsidRPr="00F542EE" w:rsidTr="0095350E">
        <w:trPr>
          <w:trHeight w:val="1184"/>
        </w:trPr>
        <w:tc>
          <w:tcPr>
            <w:tcW w:w="3728" w:type="dxa"/>
            <w:tcBorders>
              <w:top w:val="single" w:sz="4" w:space="0" w:color="auto"/>
              <w:left w:val="single" w:sz="4" w:space="0" w:color="auto"/>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Crude Fatty Acid Value (mgKOH/100g)</w:t>
            </w:r>
          </w:p>
        </w:tc>
        <w:tc>
          <w:tcPr>
            <w:tcW w:w="2665"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≤1</w:t>
            </w:r>
          </w:p>
        </w:tc>
        <w:tc>
          <w:tcPr>
            <w:tcW w:w="2788"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≤2.5</w:t>
            </w:r>
          </w:p>
        </w:tc>
      </w:tr>
      <w:tr w:rsidR="00F542EE" w:rsidRPr="00F542EE" w:rsidTr="0095350E">
        <w:trPr>
          <w:trHeight w:val="564"/>
        </w:trPr>
        <w:tc>
          <w:tcPr>
            <w:tcW w:w="3728" w:type="dxa"/>
            <w:tcBorders>
              <w:top w:val="single" w:sz="4" w:space="0" w:color="auto"/>
              <w:left w:val="single" w:sz="4" w:space="0" w:color="auto"/>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Protein Dissolution Ratio (%)</w:t>
            </w:r>
          </w:p>
        </w:tc>
        <w:tc>
          <w:tcPr>
            <w:tcW w:w="2665"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≥80</w:t>
            </w:r>
          </w:p>
        </w:tc>
        <w:tc>
          <w:tcPr>
            <w:tcW w:w="2788" w:type="dxa"/>
            <w:tcBorders>
              <w:top w:val="single" w:sz="4" w:space="0" w:color="auto"/>
              <w:left w:val="nil"/>
              <w:bottom w:val="single" w:sz="4" w:space="0" w:color="auto"/>
              <w:right w:val="single" w:sz="4" w:space="0" w:color="auto"/>
            </w:tcBorders>
            <w:vAlign w:val="center"/>
          </w:tcPr>
          <w:p w:rsidR="00F542EE" w:rsidRPr="00F542EE" w:rsidRDefault="00F542EE" w:rsidP="00F542EE">
            <w:pPr>
              <w:widowControl/>
              <w:snapToGrid w:val="0"/>
              <w:spacing w:before="200" w:line="288" w:lineRule="auto"/>
              <w:jc w:val="center"/>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≥65</w:t>
            </w:r>
          </w:p>
        </w:tc>
      </w:tr>
    </w:tbl>
    <w:p w:rsidR="00F542EE" w:rsidRPr="00F542EE" w:rsidRDefault="00F542EE" w:rsidP="00F542EE">
      <w:pPr>
        <w:widowControl/>
        <w:shd w:val="clear" w:color="auto" w:fill="FFFFFF"/>
        <w:snapToGrid w:val="0"/>
        <w:spacing w:before="200" w:line="288" w:lineRule="auto"/>
        <w:ind w:left="567"/>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 </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 xml:space="preserve"> Inspection methods and guidelines</w:t>
      </w:r>
    </w:p>
    <w:p w:rsidR="00F542EE" w:rsidRPr="00F542EE" w:rsidRDefault="00F542EE" w:rsidP="00F542EE">
      <w:pPr>
        <w:widowControl/>
        <w:shd w:val="clear" w:color="auto" w:fill="FFFFFF"/>
        <w:snapToGrid w:val="0"/>
        <w:spacing w:before="200" w:line="288" w:lineRule="auto"/>
        <w:ind w:left="567"/>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 xml:space="preserve">Subject to </w:t>
      </w:r>
      <w:r w:rsidRPr="00F542EE">
        <w:rPr>
          <w:rFonts w:ascii="Times New Roman" w:eastAsia="宋体" w:hAnsi="Times New Roman" w:cs="Arial"/>
          <w:i/>
          <w:iCs/>
          <w:color w:val="333333"/>
          <w:kern w:val="0"/>
          <w:sz w:val="24"/>
          <w:szCs w:val="24"/>
        </w:rPr>
        <w:t>GB 1352-2023</w:t>
      </w:r>
      <w:r w:rsidRPr="00F542EE">
        <w:rPr>
          <w:rFonts w:ascii="Times New Roman" w:eastAsia="宋体" w:hAnsi="Times New Roman" w:cs="Arial"/>
          <w:color w:val="333333"/>
          <w:kern w:val="0"/>
          <w:sz w:val="24"/>
          <w:szCs w:val="24"/>
        </w:rPr>
        <w:t xml:space="preserve"> and </w:t>
      </w:r>
      <w:r w:rsidRPr="00F542EE">
        <w:rPr>
          <w:rFonts w:ascii="Times New Roman" w:eastAsia="宋体" w:hAnsi="Times New Roman" w:cs="Arial"/>
          <w:i/>
          <w:iCs/>
          <w:color w:val="333333"/>
          <w:kern w:val="0"/>
          <w:sz w:val="24"/>
          <w:szCs w:val="24"/>
        </w:rPr>
        <w:t>State Administration of Grain [2000] No. 143</w:t>
      </w:r>
      <w:r w:rsidRPr="00F542EE">
        <w:rPr>
          <w:rFonts w:ascii="Times New Roman" w:eastAsia="宋体" w:hAnsi="Times New Roman" w:cs="Arial"/>
          <w:color w:val="333333"/>
          <w:kern w:val="0"/>
          <w:sz w:val="24"/>
          <w:szCs w:val="24"/>
        </w:rPr>
        <w:t>.</w:t>
      </w:r>
    </w:p>
    <w:p w:rsidR="00F542EE" w:rsidRPr="00F542EE" w:rsidRDefault="00F542EE" w:rsidP="00F542EE">
      <w:pPr>
        <w:widowControl/>
        <w:numPr>
          <w:ilvl w:val="0"/>
          <w:numId w:val="2"/>
        </w:numPr>
        <w:shd w:val="clear" w:color="auto" w:fill="FFFFFF"/>
        <w:snapToGrid w:val="0"/>
        <w:spacing w:before="200" w:line="288" w:lineRule="auto"/>
        <w:rPr>
          <w:rFonts w:ascii="Times New Roman" w:eastAsia="宋体" w:hAnsi="Times New Roman" w:cs="Arial"/>
          <w:color w:val="333333"/>
          <w:kern w:val="0"/>
          <w:sz w:val="24"/>
          <w:szCs w:val="24"/>
        </w:rPr>
      </w:pPr>
      <w:r w:rsidRPr="00F542EE">
        <w:rPr>
          <w:rFonts w:ascii="Times New Roman" w:eastAsia="宋体" w:hAnsi="Times New Roman" w:cs="Arial"/>
          <w:b/>
          <w:bCs/>
          <w:color w:val="333333"/>
          <w:kern w:val="0"/>
          <w:sz w:val="24"/>
          <w:szCs w:val="24"/>
        </w:rPr>
        <w:t xml:space="preserve"> Additional note</w:t>
      </w:r>
    </w:p>
    <w:p w:rsidR="00F542EE" w:rsidRPr="00F542EE" w:rsidRDefault="00F542EE" w:rsidP="00F542EE">
      <w:pPr>
        <w:widowControl/>
        <w:shd w:val="clear" w:color="auto" w:fill="FFFFFF"/>
        <w:snapToGrid w:val="0"/>
        <w:spacing w:before="200" w:line="288" w:lineRule="auto"/>
        <w:ind w:left="567"/>
        <w:rPr>
          <w:rFonts w:ascii="Times New Roman" w:eastAsia="宋体" w:hAnsi="Times New Roman" w:cs="Arial"/>
          <w:color w:val="333333"/>
          <w:kern w:val="0"/>
          <w:sz w:val="24"/>
          <w:szCs w:val="24"/>
        </w:rPr>
      </w:pPr>
      <w:r w:rsidRPr="00F542EE">
        <w:rPr>
          <w:rFonts w:ascii="Times New Roman" w:eastAsia="宋体" w:hAnsi="Times New Roman" w:cs="Arial"/>
          <w:color w:val="333333"/>
          <w:kern w:val="0"/>
          <w:sz w:val="24"/>
          <w:szCs w:val="24"/>
        </w:rPr>
        <w:t>The Standard shall be subject to the interpretation of DCE.</w:t>
      </w:r>
    </w:p>
    <w:p w:rsidR="00BE7D07" w:rsidRPr="00F542EE" w:rsidRDefault="00BE7D07">
      <w:bookmarkStart w:id="4" w:name="_GoBack"/>
      <w:bookmarkEnd w:id="4"/>
    </w:p>
    <w:sectPr w:rsidR="00BE7D07" w:rsidRPr="00F542E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42EE" w:rsidRDefault="00F542EE" w:rsidP="00F542EE">
      <w:r>
        <w:separator/>
      </w:r>
    </w:p>
  </w:endnote>
  <w:endnote w:type="continuationSeparator" w:id="0">
    <w:p w:rsidR="00F542EE" w:rsidRDefault="00F542EE" w:rsidP="00F542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libri">
    <w:altName w:val="微软雅黑"/>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42EE" w:rsidRDefault="00F542EE" w:rsidP="00F542EE">
      <w:r>
        <w:separator/>
      </w:r>
    </w:p>
  </w:footnote>
  <w:footnote w:type="continuationSeparator" w:id="0">
    <w:p w:rsidR="00F542EE" w:rsidRDefault="00F542EE" w:rsidP="00F542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554C20"/>
    <w:multiLevelType w:val="multilevel"/>
    <w:tmpl w:val="56554C20"/>
    <w:lvl w:ilvl="0">
      <w:start w:val="1"/>
      <w:numFmt w:val="decimal"/>
      <w:lvlText w:val="Article %1"/>
      <w:lvlJc w:val="left"/>
      <w:pPr>
        <w:ind w:left="420" w:hanging="420"/>
      </w:pPr>
      <w:rPr>
        <w:rFonts w:hint="eastAsia"/>
        <w:b/>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721A1189"/>
    <w:multiLevelType w:val="multilevel"/>
    <w:tmpl w:val="721A1189"/>
    <w:lvl w:ilvl="0">
      <w:start w:val="1"/>
      <w:numFmt w:val="decimal"/>
      <w:lvlText w:val="%1"/>
      <w:lvlJc w:val="left"/>
      <w:pPr>
        <w:ind w:left="425" w:hanging="425"/>
      </w:pPr>
      <w:rPr>
        <w:rFonts w:ascii="Times New Roman" w:hAnsi="Times New Roman" w:cs="Times New Roman" w:hint="default"/>
        <w:b/>
        <w:bCs/>
      </w:rPr>
    </w:lvl>
    <w:lvl w:ilvl="1">
      <w:start w:val="1"/>
      <w:numFmt w:val="decimal"/>
      <w:lvlText w:val="%1.%2"/>
      <w:lvlJc w:val="left"/>
      <w:pPr>
        <w:ind w:left="992" w:hanging="567"/>
      </w:pPr>
      <w:rPr>
        <w:rFonts w:ascii="Times New Roman" w:hAnsi="Times New Roman" w:cs="Times New Roman" w:hint="default"/>
      </w:rPr>
    </w:lvl>
    <w:lvl w:ilvl="2">
      <w:start w:val="1"/>
      <w:numFmt w:val="decimal"/>
      <w:lvlText w:val="%1.%2.%3"/>
      <w:lvlJc w:val="left"/>
      <w:pPr>
        <w:ind w:left="1418" w:hanging="567"/>
      </w:pPr>
      <w:rPr>
        <w:rFonts w:ascii="Times New Roman" w:hAnsi="Times New Roman" w:cs="Times New Roman" w:hint="default"/>
      </w:rPr>
    </w:lvl>
    <w:lvl w:ilvl="3">
      <w:start w:val="1"/>
      <w:numFmt w:val="decimal"/>
      <w:lvlText w:val="%1.%2.%3.%4"/>
      <w:lvlJc w:val="left"/>
      <w:pPr>
        <w:ind w:left="1984" w:hanging="708"/>
      </w:pPr>
      <w:rPr>
        <w:rFonts w:ascii="Times New Roman" w:hAnsi="Times New Roman" w:cs="Times New Roman" w:hint="default"/>
      </w:rPr>
    </w:lvl>
    <w:lvl w:ilvl="4">
      <w:start w:val="1"/>
      <w:numFmt w:val="decimal"/>
      <w:lvlText w:val="%1.%2.%3.%4.%5"/>
      <w:lvlJc w:val="left"/>
      <w:pPr>
        <w:ind w:left="2551" w:hanging="850"/>
      </w:pPr>
      <w:rPr>
        <w:rFonts w:ascii="Times New Roman" w:hAnsi="Times New Roman" w:cs="Times New Roman" w:hint="default"/>
      </w:rPr>
    </w:lvl>
    <w:lvl w:ilvl="5">
      <w:start w:val="1"/>
      <w:numFmt w:val="decimal"/>
      <w:lvlText w:val="%1.%2.%3.%4.%5.%6"/>
      <w:lvlJc w:val="left"/>
      <w:pPr>
        <w:ind w:left="3260" w:hanging="1134"/>
      </w:pPr>
      <w:rPr>
        <w:rFonts w:ascii="Times New Roman" w:hAnsi="Times New Roman" w:cs="Times New Roman" w:hint="default"/>
      </w:rPr>
    </w:lvl>
    <w:lvl w:ilvl="6">
      <w:start w:val="1"/>
      <w:numFmt w:val="decimal"/>
      <w:lvlText w:val="%1.%2.%3.%4.%5.%6.%7"/>
      <w:lvlJc w:val="left"/>
      <w:pPr>
        <w:ind w:left="3827" w:hanging="1276"/>
      </w:pPr>
      <w:rPr>
        <w:rFonts w:ascii="Times New Roman" w:hAnsi="Times New Roman" w:cs="Times New Roman" w:hint="default"/>
      </w:rPr>
    </w:lvl>
    <w:lvl w:ilvl="7">
      <w:start w:val="1"/>
      <w:numFmt w:val="decimal"/>
      <w:lvlText w:val="%1.%2.%3.%4.%5.%6.%7.%8"/>
      <w:lvlJc w:val="left"/>
      <w:pPr>
        <w:ind w:left="4394" w:hanging="1418"/>
      </w:pPr>
      <w:rPr>
        <w:rFonts w:ascii="Times New Roman" w:hAnsi="Times New Roman" w:cs="Times New Roman" w:hint="default"/>
      </w:rPr>
    </w:lvl>
    <w:lvl w:ilvl="8">
      <w:start w:val="1"/>
      <w:numFmt w:val="decimal"/>
      <w:lvlText w:val="%1.%2.%3.%4.%5.%6.%7.%8.%9"/>
      <w:lvlJc w:val="left"/>
      <w:pPr>
        <w:ind w:left="5102" w:hanging="1700"/>
      </w:pPr>
      <w:rPr>
        <w:rFonts w:ascii="Times New Roman" w:hAnsi="Times New Roman" w:cs="Times New Roman" w:hint="default"/>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689D"/>
    <w:rsid w:val="00B0689D"/>
    <w:rsid w:val="00BE7D07"/>
    <w:rsid w:val="00F542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56AB7BE6-BE51-4954-BEC5-C9B5A0C83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542E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F542EE"/>
    <w:rPr>
      <w:sz w:val="18"/>
      <w:szCs w:val="18"/>
    </w:rPr>
  </w:style>
  <w:style w:type="paragraph" w:styleId="a5">
    <w:name w:val="footer"/>
    <w:basedOn w:val="a"/>
    <w:link w:val="a6"/>
    <w:uiPriority w:val="99"/>
    <w:unhideWhenUsed/>
    <w:rsid w:val="00F542EE"/>
    <w:pPr>
      <w:tabs>
        <w:tab w:val="center" w:pos="4153"/>
        <w:tab w:val="right" w:pos="8306"/>
      </w:tabs>
      <w:snapToGrid w:val="0"/>
      <w:jc w:val="left"/>
    </w:pPr>
    <w:rPr>
      <w:sz w:val="18"/>
      <w:szCs w:val="18"/>
    </w:rPr>
  </w:style>
  <w:style w:type="character" w:customStyle="1" w:styleId="a6">
    <w:name w:val="页脚 字符"/>
    <w:basedOn w:val="a0"/>
    <w:link w:val="a5"/>
    <w:uiPriority w:val="99"/>
    <w:rsid w:val="00F542E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1778</Words>
  <Characters>10138</Characters>
  <Application>Microsoft Office Word</Application>
  <DocSecurity>0</DocSecurity>
  <Lines>84</Lines>
  <Paragraphs>23</Paragraphs>
  <ScaleCrop>false</ScaleCrop>
  <Company/>
  <LinksUpToDate>false</LinksUpToDate>
  <CharactersWithSpaces>11893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辛悦</dc:creator>
  <cp:keywords/>
  <dc:description/>
  <cp:lastModifiedBy>辛悦</cp:lastModifiedBy>
  <cp:revision>2</cp:revision>
  <dcterms:created xsi:type="dcterms:W3CDTF">2024-04-30T07:04:00Z</dcterms:created>
  <dcterms:modified xsi:type="dcterms:W3CDTF">2024-04-30T07:05:00Z</dcterms:modified>
</cp:coreProperties>
</file>