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973" w:rsidRDefault="006C7973" w:rsidP="006C7973">
      <w:pPr>
        <w:snapToGrid w:val="0"/>
        <w:spacing w:before="200" w:line="288" w:lineRule="auto"/>
        <w:outlineLvl w:val="0"/>
        <w:rPr>
          <w:rFonts w:ascii="Times New Roman" w:eastAsia="黑体" w:hAnsi="Times New Roman"/>
          <w:kern w:val="0"/>
          <w:sz w:val="24"/>
        </w:rPr>
      </w:pPr>
      <w:r>
        <w:rPr>
          <w:rFonts w:ascii="Times New Roman" w:eastAsia="黑体" w:hAnsi="Times New Roman"/>
          <w:kern w:val="0"/>
          <w:sz w:val="24"/>
          <w:lang w:bidi="ar"/>
        </w:rPr>
        <w:t>Attachment 2</w:t>
      </w:r>
    </w:p>
    <w:p w:rsidR="006C7973" w:rsidRDefault="006C7973" w:rsidP="006C7973">
      <w:pPr>
        <w:widowControl/>
        <w:snapToGrid w:val="0"/>
        <w:spacing w:before="200" w:line="288" w:lineRule="auto"/>
        <w:jc w:val="center"/>
        <w:rPr>
          <w:rFonts w:ascii="Times New Roman" w:hAnsi="Times New Roman"/>
          <w:b/>
          <w:bCs/>
          <w:kern w:val="0"/>
          <w:sz w:val="24"/>
          <w:lang w:eastAsia="zh-Hans" w:bidi="ar"/>
        </w:rPr>
      </w:pPr>
      <w:r>
        <w:rPr>
          <w:rFonts w:ascii="Times New Roman" w:hAnsi="Times New Roman"/>
          <w:b/>
          <w:bCs/>
          <w:kern w:val="0"/>
          <w:sz w:val="24"/>
          <w:lang w:bidi="ar"/>
        </w:rPr>
        <w:t xml:space="preserve">Comparison Table of the Amendments to the </w:t>
      </w:r>
      <w:r>
        <w:rPr>
          <w:rFonts w:ascii="Times New Roman" w:hAnsi="Times New Roman" w:hint="eastAsia"/>
          <w:b/>
          <w:bCs/>
          <w:kern w:val="0"/>
          <w:sz w:val="24"/>
          <w:lang w:bidi="ar"/>
        </w:rPr>
        <w:t>Measures for Risk Management of Dalian Commodity Exchange</w:t>
      </w:r>
    </w:p>
    <w:p w:rsidR="006C7973" w:rsidRDefault="006C7973" w:rsidP="006C7973">
      <w:pPr>
        <w:widowControl/>
        <w:snapToGrid w:val="0"/>
        <w:spacing w:before="200" w:line="288" w:lineRule="auto"/>
        <w:jc w:val="center"/>
        <w:rPr>
          <w:rFonts w:ascii="Times New Roman" w:hAnsi="Times New Roman"/>
          <w:b/>
          <w:bCs/>
          <w:kern w:val="0"/>
          <w:sz w:val="24"/>
          <w:lang w:eastAsia="zh-Hans" w:bidi="ar"/>
        </w:rPr>
      </w:pPr>
      <w:r>
        <w:rPr>
          <w:rFonts w:ascii="Times New Roman" w:eastAsia="楷体_GB2312" w:hAnsi="Times New Roman"/>
          <w:color w:val="000000"/>
          <w:kern w:val="0"/>
          <w:sz w:val="24"/>
        </w:rPr>
        <w:t>(Contents newly added are in shade; contents deleted are marked with double strikethrough; and</w:t>
      </w:r>
      <w:r>
        <w:rPr>
          <w:rFonts w:ascii="Times New Roman" w:eastAsia="楷体_GB2312" w:hAnsi="Times New Roman"/>
          <w:color w:val="000000"/>
          <w:kern w:val="0"/>
          <w:sz w:val="24"/>
          <w:lang w:eastAsia="zh-Hans"/>
        </w:rPr>
        <w:t xml:space="preserve"> </w:t>
      </w:r>
      <w:r>
        <w:rPr>
          <w:rFonts w:ascii="Times New Roman" w:eastAsia="楷体_GB2312" w:hAnsi="Times New Roman"/>
          <w:color w:val="000000"/>
          <w:kern w:val="0"/>
          <w:sz w:val="24"/>
        </w:rPr>
        <w:t>clauses unchanged are represented by ellipsis.)</w:t>
      </w:r>
    </w:p>
    <w:tbl>
      <w:tblPr>
        <w:tblW w:w="491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6945"/>
        <w:gridCol w:w="6998"/>
      </w:tblGrid>
      <w:tr w:rsidR="006C7973" w:rsidTr="00B2794F">
        <w:tc>
          <w:tcPr>
            <w:tcW w:w="2428" w:type="pct"/>
          </w:tcPr>
          <w:p w:rsidR="006C7973" w:rsidRDefault="006C7973" w:rsidP="00B2794F">
            <w:pPr>
              <w:snapToGrid w:val="0"/>
              <w:spacing w:before="200" w:line="288" w:lineRule="auto"/>
              <w:jc w:val="center"/>
              <w:rPr>
                <w:rFonts w:ascii="Times New Roman" w:eastAsia="仿宋_GB2312" w:hAnsi="Times New Roman"/>
                <w:b/>
                <w:bCs/>
                <w:sz w:val="24"/>
              </w:rPr>
            </w:pPr>
            <w:r>
              <w:rPr>
                <w:rFonts w:ascii="Times New Roman" w:eastAsia="仿宋_GB2312" w:hAnsi="Times New Roman"/>
                <w:b/>
                <w:bCs/>
                <w:sz w:val="24"/>
              </w:rPr>
              <w:t>Original Articles</w:t>
            </w:r>
          </w:p>
        </w:tc>
        <w:tc>
          <w:tcPr>
            <w:tcW w:w="2572" w:type="pct"/>
          </w:tcPr>
          <w:p w:rsidR="006C7973" w:rsidRDefault="006C7973" w:rsidP="00B2794F">
            <w:pPr>
              <w:snapToGrid w:val="0"/>
              <w:spacing w:before="200" w:line="288" w:lineRule="auto"/>
              <w:jc w:val="center"/>
              <w:rPr>
                <w:rFonts w:ascii="Times New Roman" w:eastAsia="仿宋_GB2312" w:hAnsi="Times New Roman"/>
                <w:b/>
                <w:bCs/>
                <w:sz w:val="24"/>
              </w:rPr>
            </w:pPr>
            <w:r>
              <w:rPr>
                <w:rFonts w:ascii="Times New Roman" w:eastAsia="仿宋_GB2312" w:hAnsi="Times New Roman"/>
                <w:b/>
                <w:bCs/>
                <w:sz w:val="24"/>
              </w:rPr>
              <w:t>Amended Articles</w:t>
            </w:r>
          </w:p>
        </w:tc>
      </w:tr>
      <w:tr w:rsidR="006C7973" w:rsidTr="00B2794F">
        <w:trPr>
          <w:trHeight w:val="1298"/>
        </w:trPr>
        <w:tc>
          <w:tcPr>
            <w:tcW w:w="2428" w:type="pct"/>
            <w:vAlign w:val="center"/>
          </w:tcPr>
          <w:p w:rsidR="006C7973" w:rsidRDefault="006C7973" w:rsidP="00B2794F">
            <w:pPr>
              <w:autoSpaceDE w:val="0"/>
              <w:autoSpaceDN w:val="0"/>
              <w:adjustRightInd w:val="0"/>
              <w:snapToGrid w:val="0"/>
              <w:spacing w:before="200" w:line="288" w:lineRule="auto"/>
              <w:rPr>
                <w:rFonts w:ascii="Times New Roman" w:hAnsi="Times New Roman" w:cs="Calibri"/>
                <w:kern w:val="0"/>
                <w:sz w:val="24"/>
              </w:rPr>
            </w:pPr>
            <w:r>
              <w:rPr>
                <w:rFonts w:ascii="Times New Roman Bold" w:hAnsi="Times New Roman Bold" w:cs="Times New Roman Bold"/>
                <w:b/>
                <w:bCs/>
                <w:kern w:val="0"/>
                <w:sz w:val="24"/>
                <w:lang w:eastAsia="zh-Hans" w:bidi="ar"/>
              </w:rPr>
              <w:t xml:space="preserve">Article 29 </w:t>
            </w:r>
            <w:r>
              <w:rPr>
                <w:rFonts w:ascii="Times New Roman" w:hAnsi="Times New Roman" w:cs="Calibri"/>
                <w:kern w:val="0"/>
                <w:sz w:val="24"/>
                <w:lang w:bidi="ar"/>
              </w:rPr>
              <w:t>Position limits of futures contracts of each product shall be as follows:</w:t>
            </w:r>
          </w:p>
          <w:p w:rsidR="006C7973" w:rsidRDefault="006C7973" w:rsidP="006C7973">
            <w:pPr>
              <w:numPr>
                <w:ilvl w:val="0"/>
                <w:numId w:val="1"/>
              </w:numPr>
              <w:adjustRightInd w:val="0"/>
              <w:snapToGrid w:val="0"/>
              <w:spacing w:before="200" w:line="288" w:lineRule="auto"/>
              <w:ind w:left="283"/>
              <w:rPr>
                <w:rFonts w:ascii="Times New Roman" w:hAnsi="Times New Roman" w:cs="Calibri"/>
                <w:kern w:val="0"/>
                <w:sz w:val="24"/>
              </w:rPr>
            </w:pPr>
            <w:r>
              <w:rPr>
                <w:rFonts w:ascii="Times New Roman" w:hAnsi="Times New Roman" w:cs="Calibri"/>
                <w:kern w:val="0"/>
                <w:sz w:val="24"/>
                <w:lang w:bidi="ar"/>
              </w:rPr>
              <w:t>products other than the iron ore, egg and live hog</w:t>
            </w:r>
          </w:p>
          <w:p w:rsidR="006C7973" w:rsidRDefault="006C7973" w:rsidP="006C7973">
            <w:pPr>
              <w:numPr>
                <w:ilvl w:val="0"/>
                <w:numId w:val="2"/>
              </w:numPr>
              <w:autoSpaceDE w:val="0"/>
              <w:autoSpaceDN w:val="0"/>
              <w:adjustRightInd w:val="0"/>
              <w:snapToGrid w:val="0"/>
              <w:spacing w:before="200" w:line="288" w:lineRule="auto"/>
              <w:ind w:left="567"/>
              <w:rPr>
                <w:rFonts w:ascii="Times New Roman" w:hAnsi="Times New Roman" w:cs="Calibri"/>
                <w:kern w:val="0"/>
                <w:sz w:val="24"/>
              </w:rPr>
            </w:pPr>
            <w:r>
              <w:rPr>
                <w:rFonts w:ascii="Times New Roman" w:hAnsi="Times New Roman" w:cs="Calibri"/>
                <w:kern w:val="0"/>
                <w:sz w:val="24"/>
                <w:lang w:bidi="ar"/>
              </w:rPr>
              <w:t xml:space="preserve"> During the general months of the futures contr</w:t>
            </w:r>
            <w:bookmarkStart w:id="0" w:name="_GoBack"/>
            <w:bookmarkEnd w:id="0"/>
            <w:r>
              <w:rPr>
                <w:rFonts w:ascii="Times New Roman" w:hAnsi="Times New Roman" w:cs="Calibri"/>
                <w:kern w:val="0"/>
                <w:sz w:val="24"/>
                <w:lang w:bidi="ar"/>
              </w:rPr>
              <w:t xml:space="preserve">act of a certain product other than the iron ore, egg and live hog (from the listing of the contract to the fourteenth trading day of the month immediately preceding the delivery month), the position limit applicable to the Non-Futures Company Member, the OSNBP and the client shall be as follows: </w:t>
            </w:r>
          </w:p>
          <w:p w:rsidR="006C7973" w:rsidRDefault="006C7973" w:rsidP="00B2794F">
            <w:pPr>
              <w:autoSpaceDE w:val="0"/>
              <w:autoSpaceDN w:val="0"/>
              <w:adjustRightInd w:val="0"/>
              <w:snapToGrid w:val="0"/>
              <w:spacing w:before="200" w:line="288" w:lineRule="auto"/>
              <w:ind w:left="567"/>
              <w:rPr>
                <w:rFonts w:ascii="Times New Roman" w:hAnsi="Times New Roman" w:cs="Calibri"/>
                <w:kern w:val="0"/>
                <w:sz w:val="24"/>
              </w:rPr>
            </w:pPr>
            <w:r>
              <w:rPr>
                <w:rFonts w:ascii="Times New Roman" w:hAnsi="Times New Roman" w:cs="Calibri"/>
                <w:kern w:val="0"/>
                <w:sz w:val="24"/>
                <w:lang w:bidi="ar"/>
              </w:rPr>
              <w:t>(Unit: Lot)</w:t>
            </w:r>
          </w:p>
          <w:tbl>
            <w:tblPr>
              <w:tblW w:w="6982" w:type="dxa"/>
              <w:jc w:val="right"/>
              <w:tblCellMar>
                <w:left w:w="0" w:type="dxa"/>
                <w:right w:w="0" w:type="dxa"/>
              </w:tblCellMar>
              <w:tblLook w:val="0000" w:firstRow="0" w:lastRow="0" w:firstColumn="0" w:lastColumn="0" w:noHBand="0" w:noVBand="0"/>
            </w:tblPr>
            <w:tblGrid>
              <w:gridCol w:w="1559"/>
              <w:gridCol w:w="1920"/>
              <w:gridCol w:w="2111"/>
              <w:gridCol w:w="1392"/>
            </w:tblGrid>
            <w:tr w:rsidR="006C7973" w:rsidTr="00B2794F">
              <w:trPr>
                <w:trHeight w:val="465"/>
                <w:jc w:val="right"/>
              </w:trPr>
              <w:tc>
                <w:tcPr>
                  <w:tcW w:w="1559" w:type="dxa"/>
                  <w:tcBorders>
                    <w:top w:val="single" w:sz="4" w:space="0" w:color="auto"/>
                    <w:left w:val="single" w:sz="4" w:space="0" w:color="231F20"/>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rPr>
                  </w:pPr>
                  <w:r>
                    <w:rPr>
                      <w:rFonts w:ascii="Times New Roman" w:hAnsi="Times New Roman" w:cs="Calibri"/>
                      <w:b/>
                      <w:kern w:val="0"/>
                      <w:sz w:val="24"/>
                      <w:lang w:bidi="ar"/>
                    </w:rPr>
                    <w:t>Product</w:t>
                  </w:r>
                </w:p>
              </w:tc>
              <w:tc>
                <w:tcPr>
                  <w:tcW w:w="192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rPr>
                  </w:pPr>
                  <w:r>
                    <w:rPr>
                      <w:rFonts w:ascii="Times New Roman" w:hAnsi="Times New Roman" w:cs="Calibri"/>
                      <w:b/>
                      <w:kern w:val="0"/>
                      <w:sz w:val="24"/>
                      <w:lang w:bidi="ar"/>
                    </w:rPr>
                    <w:t>Unilateral Open Interest of Contract</w:t>
                  </w:r>
                </w:p>
              </w:tc>
              <w:tc>
                <w:tcPr>
                  <w:tcW w:w="211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rPr>
                  </w:pPr>
                  <w:r>
                    <w:rPr>
                      <w:rFonts w:ascii="Times New Roman" w:hAnsi="Times New Roman" w:cs="Calibri"/>
                      <w:b/>
                      <w:kern w:val="0"/>
                      <w:sz w:val="24"/>
                      <w:lang w:bidi="ar"/>
                    </w:rPr>
                    <w:t>Non-Futures Company Member/OSNBP</w:t>
                  </w:r>
                </w:p>
              </w:tc>
              <w:tc>
                <w:tcPr>
                  <w:tcW w:w="139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rPr>
                  </w:pPr>
                  <w:r>
                    <w:rPr>
                      <w:rFonts w:ascii="Times New Roman" w:hAnsi="Times New Roman" w:cs="Calibri"/>
                      <w:b/>
                      <w:kern w:val="0"/>
                      <w:sz w:val="24"/>
                      <w:lang w:bidi="ar"/>
                    </w:rPr>
                    <w:t>Client</w:t>
                  </w:r>
                </w:p>
              </w:tc>
            </w:tr>
            <w:tr w:rsidR="006C7973" w:rsidTr="00B2794F">
              <w:trPr>
                <w:trHeight w:val="465"/>
                <w:jc w:val="right"/>
              </w:trPr>
              <w:tc>
                <w:tcPr>
                  <w:tcW w:w="1559"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kern w:val="0"/>
                      <w:sz w:val="24"/>
                    </w:rPr>
                  </w:pPr>
                  <w:r>
                    <w:rPr>
                      <w:rFonts w:ascii="Times New Roman" w:eastAsia="仿宋_GB2312" w:hAnsi="Times New Roman"/>
                      <w:color w:val="333333"/>
                      <w:kern w:val="0"/>
                      <w:sz w:val="24"/>
                    </w:rPr>
                    <w:t>……</w:t>
                  </w:r>
                </w:p>
              </w:tc>
              <w:tc>
                <w:tcPr>
                  <w:tcW w:w="1920"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kern w:val="0"/>
                      <w:sz w:val="24"/>
                    </w:rPr>
                  </w:pPr>
                  <w:r>
                    <w:rPr>
                      <w:rFonts w:ascii="Times New Roman" w:eastAsia="仿宋_GB2312" w:hAnsi="Times New Roman"/>
                      <w:color w:val="333333"/>
                      <w:kern w:val="0"/>
                      <w:sz w:val="24"/>
                    </w:rPr>
                    <w:t>……</w:t>
                  </w:r>
                </w:p>
              </w:tc>
              <w:tc>
                <w:tcPr>
                  <w:tcW w:w="2111"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kern w:val="0"/>
                      <w:sz w:val="24"/>
                    </w:rPr>
                  </w:pPr>
                  <w:r>
                    <w:rPr>
                      <w:rFonts w:ascii="Times New Roman" w:eastAsia="仿宋_GB2312" w:hAnsi="Times New Roman"/>
                      <w:color w:val="333333"/>
                      <w:kern w:val="0"/>
                      <w:sz w:val="24"/>
                    </w:rPr>
                    <w:t>……</w:t>
                  </w:r>
                </w:p>
              </w:tc>
              <w:tc>
                <w:tcPr>
                  <w:tcW w:w="1392"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kern w:val="0"/>
                      <w:sz w:val="24"/>
                    </w:rPr>
                  </w:pPr>
                  <w:r>
                    <w:rPr>
                      <w:rFonts w:ascii="Times New Roman" w:eastAsia="仿宋_GB2312" w:hAnsi="Times New Roman"/>
                      <w:color w:val="333333"/>
                      <w:kern w:val="0"/>
                      <w:sz w:val="24"/>
                    </w:rPr>
                    <w:t>……</w:t>
                  </w:r>
                </w:p>
              </w:tc>
            </w:tr>
            <w:tr w:rsidR="006C7973" w:rsidTr="00B2794F">
              <w:trPr>
                <w:trHeight w:val="465"/>
                <w:jc w:val="right"/>
              </w:trPr>
              <w:tc>
                <w:tcPr>
                  <w:tcW w:w="1559" w:type="dxa"/>
                  <w:vMerge w:val="restart"/>
                  <w:tcBorders>
                    <w:top w:val="single" w:sz="4" w:space="0" w:color="auto"/>
                    <w:left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kern w:val="0"/>
                      <w:sz w:val="24"/>
                    </w:rPr>
                  </w:pPr>
                  <w:r>
                    <w:rPr>
                      <w:rFonts w:ascii="Times New Roman" w:hAnsi="Times New Roman" w:cs="Calibri"/>
                      <w:snapToGrid w:val="0"/>
                      <w:w w:val="102"/>
                      <w:kern w:val="0"/>
                      <w:sz w:val="24"/>
                    </w:rPr>
                    <w:lastRenderedPageBreak/>
                    <w:t>No. 2 soybeans</w:t>
                  </w:r>
                </w:p>
              </w:tc>
              <w:tc>
                <w:tcPr>
                  <w:tcW w:w="192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kern w:val="0"/>
                      <w:sz w:val="24"/>
                    </w:rPr>
                  </w:pPr>
                  <w:r>
                    <w:rPr>
                      <w:rFonts w:ascii="Times New Roman" w:hAnsi="Times New Roman" w:cs="Calibri"/>
                      <w:snapToGrid w:val="0"/>
                      <w:w w:val="102"/>
                      <w:kern w:val="0"/>
                      <w:sz w:val="24"/>
                    </w:rPr>
                    <w:t xml:space="preserve">Unilateral open interest </w:t>
                  </w:r>
                  <w:r>
                    <w:rPr>
                      <w:rFonts w:ascii="Times New Roman" w:hAnsi="Times New Roman" w:cs="Calibri" w:hint="eastAsia"/>
                      <w:snapToGrid w:val="0"/>
                      <w:w w:val="102"/>
                      <w:kern w:val="0"/>
                      <w:sz w:val="24"/>
                    </w:rPr>
                    <w:t>≤</w:t>
                  </w:r>
                  <w:r>
                    <w:rPr>
                      <w:rFonts w:ascii="Times New Roman" w:hAnsi="Times New Roman" w:cs="Calibri" w:hint="eastAsia"/>
                      <w:snapToGrid w:val="0"/>
                      <w:w w:val="102"/>
                      <w:kern w:val="0"/>
                      <w:sz w:val="24"/>
                    </w:rPr>
                    <w:t>200,000</w:t>
                  </w:r>
                </w:p>
              </w:tc>
              <w:tc>
                <w:tcPr>
                  <w:tcW w:w="211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kern w:val="0"/>
                      <w:sz w:val="24"/>
                    </w:rPr>
                  </w:pPr>
                  <w:r>
                    <w:rPr>
                      <w:rFonts w:ascii="Times New Roman" w:hAnsi="Times New Roman" w:cs="Calibri"/>
                      <w:snapToGrid w:val="0"/>
                      <w:w w:val="102"/>
                      <w:kern w:val="0"/>
                      <w:sz w:val="24"/>
                    </w:rPr>
                    <w:t>20,000</w:t>
                  </w:r>
                </w:p>
              </w:tc>
              <w:tc>
                <w:tcPr>
                  <w:tcW w:w="139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kern w:val="0"/>
                      <w:sz w:val="24"/>
                    </w:rPr>
                  </w:pPr>
                  <w:r>
                    <w:rPr>
                      <w:rFonts w:ascii="Times New Roman" w:hAnsi="Times New Roman" w:cs="Calibri"/>
                      <w:snapToGrid w:val="0"/>
                      <w:w w:val="102"/>
                      <w:kern w:val="0"/>
                      <w:sz w:val="24"/>
                    </w:rPr>
                    <w:t>20,000</w:t>
                  </w:r>
                </w:p>
              </w:tc>
            </w:tr>
            <w:tr w:rsidR="006C7973" w:rsidTr="00B2794F">
              <w:trPr>
                <w:trHeight w:val="465"/>
                <w:jc w:val="right"/>
              </w:trPr>
              <w:tc>
                <w:tcPr>
                  <w:tcW w:w="1559" w:type="dxa"/>
                  <w:vMerge/>
                  <w:tcBorders>
                    <w:left w:val="single" w:sz="4" w:space="0" w:color="auto"/>
                    <w:bottom w:val="single" w:sz="4" w:space="0" w:color="auto"/>
                    <w:right w:val="single" w:sz="4" w:space="0" w:color="auto"/>
                  </w:tcBorders>
                  <w:vAlign w:val="center"/>
                </w:tcPr>
                <w:p w:rsidR="006C7973" w:rsidRDefault="006C7973" w:rsidP="00B2794F">
                  <w:pPr>
                    <w:widowControl/>
                    <w:adjustRightInd w:val="0"/>
                    <w:snapToGrid w:val="0"/>
                    <w:spacing w:before="200" w:line="288" w:lineRule="auto"/>
                    <w:jc w:val="center"/>
                    <w:rPr>
                      <w:rFonts w:ascii="Times New Roman" w:hAnsi="Times New Roman" w:cs="Calibri"/>
                      <w:kern w:val="0"/>
                      <w:sz w:val="24"/>
                    </w:rPr>
                  </w:pPr>
                </w:p>
              </w:tc>
              <w:tc>
                <w:tcPr>
                  <w:tcW w:w="192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kern w:val="0"/>
                      <w:sz w:val="24"/>
                    </w:rPr>
                  </w:pPr>
                  <w:r>
                    <w:rPr>
                      <w:rFonts w:ascii="Times New Roman" w:hAnsi="Times New Roman" w:cs="Calibri"/>
                      <w:snapToGrid w:val="0"/>
                      <w:w w:val="102"/>
                      <w:kern w:val="0"/>
                      <w:sz w:val="24"/>
                    </w:rPr>
                    <w:t xml:space="preserve">Unilateral open interest </w:t>
                  </w:r>
                  <w:r>
                    <w:rPr>
                      <w:rFonts w:ascii="Times New Roman" w:hAnsi="Times New Roman" w:cs="Calibri" w:hint="eastAsia"/>
                      <w:snapToGrid w:val="0"/>
                      <w:w w:val="102"/>
                      <w:kern w:val="0"/>
                      <w:sz w:val="24"/>
                    </w:rPr>
                    <w:t>＞</w:t>
                  </w:r>
                  <w:r>
                    <w:rPr>
                      <w:rFonts w:ascii="Times New Roman" w:hAnsi="Times New Roman" w:cs="Calibri"/>
                      <w:snapToGrid w:val="0"/>
                      <w:w w:val="102"/>
                      <w:kern w:val="0"/>
                      <w:sz w:val="24"/>
                    </w:rPr>
                    <w:t>200,000</w:t>
                  </w:r>
                </w:p>
              </w:tc>
              <w:tc>
                <w:tcPr>
                  <w:tcW w:w="211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kern w:val="0"/>
                      <w:sz w:val="24"/>
                    </w:rPr>
                  </w:pPr>
                  <w:r>
                    <w:rPr>
                      <w:rFonts w:ascii="Times New Roman" w:hAnsi="Times New Roman" w:cs="Calibri"/>
                      <w:snapToGrid w:val="0"/>
                      <w:w w:val="102"/>
                      <w:kern w:val="0"/>
                      <w:sz w:val="24"/>
                    </w:rPr>
                    <w:t>Unilateral open interest ×10%</w:t>
                  </w:r>
                </w:p>
              </w:tc>
              <w:tc>
                <w:tcPr>
                  <w:tcW w:w="139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kern w:val="0"/>
                      <w:sz w:val="24"/>
                    </w:rPr>
                  </w:pPr>
                  <w:r>
                    <w:rPr>
                      <w:rFonts w:ascii="Times New Roman" w:hAnsi="Times New Roman" w:cs="Calibri"/>
                      <w:snapToGrid w:val="0"/>
                      <w:w w:val="102"/>
                      <w:kern w:val="0"/>
                      <w:sz w:val="24"/>
                    </w:rPr>
                    <w:t>Unilateral open interest ×10%</w:t>
                  </w:r>
                </w:p>
              </w:tc>
            </w:tr>
            <w:tr w:rsidR="006C7973" w:rsidTr="00B2794F">
              <w:trPr>
                <w:trHeight w:val="465"/>
                <w:jc w:val="right"/>
              </w:trPr>
              <w:tc>
                <w:tcPr>
                  <w:tcW w:w="1559"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kern w:val="0"/>
                      <w:sz w:val="24"/>
                    </w:rPr>
                  </w:pPr>
                  <w:r>
                    <w:rPr>
                      <w:rFonts w:ascii="Times New Roman" w:eastAsia="仿宋_GB2312" w:hAnsi="Times New Roman"/>
                      <w:color w:val="333333"/>
                      <w:kern w:val="0"/>
                      <w:sz w:val="24"/>
                    </w:rPr>
                    <w:t>……</w:t>
                  </w:r>
                </w:p>
              </w:tc>
              <w:tc>
                <w:tcPr>
                  <w:tcW w:w="1920"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snapToGrid w:val="0"/>
                      <w:w w:val="102"/>
                      <w:kern w:val="0"/>
                      <w:sz w:val="24"/>
                    </w:rPr>
                  </w:pPr>
                  <w:r>
                    <w:rPr>
                      <w:rFonts w:ascii="Times New Roman" w:eastAsia="仿宋_GB2312" w:hAnsi="Times New Roman"/>
                      <w:color w:val="333333"/>
                      <w:kern w:val="0"/>
                      <w:sz w:val="24"/>
                    </w:rPr>
                    <w:t>……</w:t>
                  </w:r>
                </w:p>
              </w:tc>
              <w:tc>
                <w:tcPr>
                  <w:tcW w:w="2111"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snapToGrid w:val="0"/>
                      <w:w w:val="102"/>
                      <w:kern w:val="0"/>
                      <w:sz w:val="24"/>
                    </w:rPr>
                  </w:pPr>
                  <w:r>
                    <w:rPr>
                      <w:rFonts w:ascii="Times New Roman" w:eastAsia="仿宋_GB2312" w:hAnsi="Times New Roman"/>
                      <w:color w:val="333333"/>
                      <w:kern w:val="0"/>
                      <w:sz w:val="24"/>
                    </w:rPr>
                    <w:t>……</w:t>
                  </w:r>
                </w:p>
              </w:tc>
              <w:tc>
                <w:tcPr>
                  <w:tcW w:w="1392"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snapToGrid w:val="0"/>
                      <w:w w:val="102"/>
                      <w:kern w:val="0"/>
                      <w:sz w:val="24"/>
                    </w:rPr>
                  </w:pPr>
                  <w:r>
                    <w:rPr>
                      <w:rFonts w:ascii="Times New Roman" w:eastAsia="仿宋_GB2312" w:hAnsi="Times New Roman"/>
                      <w:color w:val="333333"/>
                      <w:kern w:val="0"/>
                      <w:sz w:val="24"/>
                    </w:rPr>
                    <w:t>……</w:t>
                  </w:r>
                </w:p>
              </w:tc>
            </w:tr>
            <w:tr w:rsidR="006C7973" w:rsidTr="00B2794F">
              <w:trPr>
                <w:trHeight w:val="465"/>
                <w:jc w:val="right"/>
              </w:trPr>
              <w:tc>
                <w:tcPr>
                  <w:tcW w:w="1559" w:type="dxa"/>
                  <w:vMerge w:val="restart"/>
                  <w:tcBorders>
                    <w:top w:val="single" w:sz="4" w:space="0" w:color="auto"/>
                    <w:left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kern w:val="0"/>
                      <w:sz w:val="24"/>
                    </w:rPr>
                  </w:pPr>
                  <w:r>
                    <w:rPr>
                      <w:rFonts w:ascii="Times New Roman" w:hAnsi="Times New Roman" w:cs="Calibri"/>
                      <w:snapToGrid w:val="0"/>
                      <w:w w:val="102"/>
                      <w:kern w:val="0"/>
                      <w:sz w:val="24"/>
                    </w:rPr>
                    <w:t>Linear low density polyethylene</w:t>
                  </w:r>
                </w:p>
              </w:tc>
              <w:tc>
                <w:tcPr>
                  <w:tcW w:w="192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 xml:space="preserve">Unilateral open interest </w:t>
                  </w:r>
                  <w:r>
                    <w:rPr>
                      <w:rFonts w:ascii="Times New Roman" w:hAnsi="Times New Roman" w:cs="Calibri" w:hint="eastAsia"/>
                      <w:snapToGrid w:val="0"/>
                      <w:w w:val="102"/>
                      <w:kern w:val="0"/>
                      <w:sz w:val="24"/>
                    </w:rPr>
                    <w:t>≤</w:t>
                  </w:r>
                  <w:r>
                    <w:rPr>
                      <w:rFonts w:ascii="Times New Roman" w:hAnsi="Times New Roman" w:cs="Calibri" w:hint="eastAsia"/>
                      <w:snapToGrid w:val="0"/>
                      <w:w w:val="102"/>
                      <w:kern w:val="0"/>
                      <w:sz w:val="24"/>
                    </w:rPr>
                    <w:t>100,000</w:t>
                  </w:r>
                </w:p>
              </w:tc>
              <w:tc>
                <w:tcPr>
                  <w:tcW w:w="211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20,000</w:t>
                  </w:r>
                </w:p>
              </w:tc>
              <w:tc>
                <w:tcPr>
                  <w:tcW w:w="139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10,000</w:t>
                  </w:r>
                </w:p>
              </w:tc>
            </w:tr>
            <w:tr w:rsidR="006C7973" w:rsidTr="00B2794F">
              <w:trPr>
                <w:trHeight w:val="465"/>
                <w:jc w:val="right"/>
              </w:trPr>
              <w:tc>
                <w:tcPr>
                  <w:tcW w:w="1559" w:type="dxa"/>
                  <w:vMerge/>
                  <w:tcBorders>
                    <w:left w:val="single" w:sz="4" w:space="0" w:color="auto"/>
                    <w:bottom w:val="single" w:sz="4" w:space="0" w:color="auto"/>
                    <w:right w:val="single" w:sz="4" w:space="0" w:color="auto"/>
                  </w:tcBorders>
                  <w:vAlign w:val="center"/>
                </w:tcPr>
                <w:p w:rsidR="006C7973" w:rsidRDefault="006C7973" w:rsidP="00B2794F">
                  <w:pPr>
                    <w:widowControl/>
                    <w:adjustRightInd w:val="0"/>
                    <w:snapToGrid w:val="0"/>
                    <w:spacing w:before="200" w:line="288" w:lineRule="auto"/>
                    <w:jc w:val="center"/>
                    <w:rPr>
                      <w:rFonts w:ascii="Times New Roman" w:hAnsi="Times New Roman" w:cs="Calibri"/>
                      <w:kern w:val="0"/>
                      <w:sz w:val="24"/>
                    </w:rPr>
                  </w:pPr>
                </w:p>
              </w:tc>
              <w:tc>
                <w:tcPr>
                  <w:tcW w:w="192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 xml:space="preserve">Unilateral open interest </w:t>
                  </w:r>
                  <w:r>
                    <w:rPr>
                      <w:rFonts w:ascii="Times New Roman" w:hAnsi="Times New Roman" w:cs="Calibri" w:hint="eastAsia"/>
                      <w:snapToGrid w:val="0"/>
                      <w:w w:val="102"/>
                      <w:kern w:val="0"/>
                      <w:sz w:val="24"/>
                    </w:rPr>
                    <w:t>＞</w:t>
                  </w:r>
                  <w:r>
                    <w:rPr>
                      <w:rFonts w:ascii="Times New Roman" w:hAnsi="Times New Roman" w:cs="Calibri"/>
                      <w:snapToGrid w:val="0"/>
                      <w:w w:val="102"/>
                      <w:kern w:val="0"/>
                      <w:sz w:val="24"/>
                    </w:rPr>
                    <w:t>100,000</w:t>
                  </w:r>
                </w:p>
              </w:tc>
              <w:tc>
                <w:tcPr>
                  <w:tcW w:w="211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Unilateral open interest ×20%</w:t>
                  </w:r>
                </w:p>
              </w:tc>
              <w:tc>
                <w:tcPr>
                  <w:tcW w:w="139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Unilateral open interest ×10%</w:t>
                  </w:r>
                </w:p>
              </w:tc>
            </w:tr>
            <w:tr w:rsidR="006C7973" w:rsidTr="00B2794F">
              <w:trPr>
                <w:trHeight w:val="465"/>
                <w:jc w:val="right"/>
              </w:trPr>
              <w:tc>
                <w:tcPr>
                  <w:tcW w:w="1559" w:type="dxa"/>
                  <w:vMerge w:val="restart"/>
                  <w:tcBorders>
                    <w:top w:val="single" w:sz="4" w:space="0" w:color="auto"/>
                    <w:left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kern w:val="0"/>
                      <w:sz w:val="24"/>
                    </w:rPr>
                  </w:pPr>
                  <w:r>
                    <w:rPr>
                      <w:rFonts w:ascii="Times New Roman" w:hAnsi="Times New Roman" w:cs="Calibri"/>
                      <w:snapToGrid w:val="0"/>
                      <w:w w:val="102"/>
                      <w:kern w:val="0"/>
                      <w:sz w:val="24"/>
                    </w:rPr>
                    <w:t>Polyvinyl chloride</w:t>
                  </w:r>
                </w:p>
              </w:tc>
              <w:tc>
                <w:tcPr>
                  <w:tcW w:w="192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 xml:space="preserve">Unilateral open interest </w:t>
                  </w:r>
                  <w:r>
                    <w:rPr>
                      <w:rFonts w:ascii="Times New Roman" w:hAnsi="Times New Roman" w:cs="Calibri" w:hint="eastAsia"/>
                      <w:snapToGrid w:val="0"/>
                      <w:w w:val="102"/>
                      <w:kern w:val="0"/>
                      <w:sz w:val="24"/>
                    </w:rPr>
                    <w:t>≤</w:t>
                  </w:r>
                  <w:r>
                    <w:rPr>
                      <w:rFonts w:ascii="Times New Roman" w:hAnsi="Times New Roman" w:cs="Calibri" w:hint="eastAsia"/>
                      <w:snapToGrid w:val="0"/>
                      <w:w w:val="102"/>
                      <w:kern w:val="0"/>
                      <w:sz w:val="24"/>
                    </w:rPr>
                    <w:t>200,000</w:t>
                  </w:r>
                </w:p>
              </w:tc>
              <w:tc>
                <w:tcPr>
                  <w:tcW w:w="211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40,000</w:t>
                  </w:r>
                </w:p>
              </w:tc>
              <w:tc>
                <w:tcPr>
                  <w:tcW w:w="139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20,000</w:t>
                  </w:r>
                </w:p>
              </w:tc>
            </w:tr>
            <w:tr w:rsidR="006C7973" w:rsidTr="00B2794F">
              <w:trPr>
                <w:trHeight w:val="465"/>
                <w:jc w:val="right"/>
              </w:trPr>
              <w:tc>
                <w:tcPr>
                  <w:tcW w:w="1559" w:type="dxa"/>
                  <w:vMerge/>
                  <w:tcBorders>
                    <w:left w:val="single" w:sz="4" w:space="0" w:color="auto"/>
                    <w:bottom w:val="single" w:sz="4" w:space="0" w:color="auto"/>
                    <w:right w:val="single" w:sz="4" w:space="0" w:color="auto"/>
                  </w:tcBorders>
                  <w:vAlign w:val="center"/>
                </w:tcPr>
                <w:p w:rsidR="006C7973" w:rsidRDefault="006C7973" w:rsidP="00B2794F">
                  <w:pPr>
                    <w:widowControl/>
                    <w:adjustRightInd w:val="0"/>
                    <w:snapToGrid w:val="0"/>
                    <w:spacing w:before="200" w:line="288" w:lineRule="auto"/>
                    <w:jc w:val="center"/>
                    <w:rPr>
                      <w:rFonts w:ascii="Times New Roman" w:hAnsi="Times New Roman" w:cs="Calibri"/>
                      <w:kern w:val="0"/>
                      <w:sz w:val="24"/>
                    </w:rPr>
                  </w:pPr>
                </w:p>
              </w:tc>
              <w:tc>
                <w:tcPr>
                  <w:tcW w:w="192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 xml:space="preserve">Unilateral open interest </w:t>
                  </w:r>
                  <w:r>
                    <w:rPr>
                      <w:rFonts w:ascii="Times New Roman" w:hAnsi="Times New Roman" w:cs="Calibri" w:hint="eastAsia"/>
                      <w:snapToGrid w:val="0"/>
                      <w:w w:val="102"/>
                      <w:kern w:val="0"/>
                      <w:sz w:val="24"/>
                    </w:rPr>
                    <w:t>＞</w:t>
                  </w:r>
                  <w:r>
                    <w:rPr>
                      <w:rFonts w:ascii="Times New Roman" w:hAnsi="Times New Roman" w:cs="Calibri"/>
                      <w:snapToGrid w:val="0"/>
                      <w:w w:val="102"/>
                      <w:kern w:val="0"/>
                      <w:sz w:val="24"/>
                    </w:rPr>
                    <w:t>200,000</w:t>
                  </w:r>
                </w:p>
              </w:tc>
              <w:tc>
                <w:tcPr>
                  <w:tcW w:w="211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Unilateral open interest ×20%</w:t>
                  </w:r>
                </w:p>
              </w:tc>
              <w:tc>
                <w:tcPr>
                  <w:tcW w:w="139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Unilateral open interest ×10%</w:t>
                  </w:r>
                </w:p>
              </w:tc>
            </w:tr>
            <w:tr w:rsidR="006C7973" w:rsidTr="00B2794F">
              <w:trPr>
                <w:trHeight w:val="465"/>
                <w:jc w:val="right"/>
              </w:trPr>
              <w:tc>
                <w:tcPr>
                  <w:tcW w:w="1559"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kern w:val="0"/>
                      <w:sz w:val="24"/>
                    </w:rPr>
                  </w:pPr>
                  <w:r>
                    <w:rPr>
                      <w:rFonts w:ascii="Times New Roman" w:eastAsia="仿宋_GB2312" w:hAnsi="Times New Roman"/>
                      <w:color w:val="333333"/>
                      <w:kern w:val="0"/>
                      <w:sz w:val="24"/>
                    </w:rPr>
                    <w:t>……</w:t>
                  </w:r>
                </w:p>
              </w:tc>
              <w:tc>
                <w:tcPr>
                  <w:tcW w:w="1920"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snapToGrid w:val="0"/>
                      <w:w w:val="102"/>
                      <w:kern w:val="0"/>
                      <w:sz w:val="24"/>
                    </w:rPr>
                  </w:pPr>
                  <w:r>
                    <w:rPr>
                      <w:rFonts w:ascii="Times New Roman" w:eastAsia="仿宋_GB2312" w:hAnsi="Times New Roman"/>
                      <w:color w:val="333333"/>
                      <w:kern w:val="0"/>
                      <w:sz w:val="24"/>
                    </w:rPr>
                    <w:t>……</w:t>
                  </w:r>
                </w:p>
              </w:tc>
              <w:tc>
                <w:tcPr>
                  <w:tcW w:w="2111"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snapToGrid w:val="0"/>
                      <w:w w:val="102"/>
                      <w:kern w:val="0"/>
                      <w:sz w:val="24"/>
                    </w:rPr>
                  </w:pPr>
                  <w:r>
                    <w:rPr>
                      <w:rFonts w:ascii="Times New Roman" w:eastAsia="仿宋_GB2312" w:hAnsi="Times New Roman"/>
                      <w:color w:val="333333"/>
                      <w:kern w:val="0"/>
                      <w:sz w:val="24"/>
                    </w:rPr>
                    <w:t>……</w:t>
                  </w:r>
                </w:p>
              </w:tc>
              <w:tc>
                <w:tcPr>
                  <w:tcW w:w="1392"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snapToGrid w:val="0"/>
                      <w:w w:val="102"/>
                      <w:kern w:val="0"/>
                      <w:sz w:val="24"/>
                    </w:rPr>
                  </w:pPr>
                  <w:r>
                    <w:rPr>
                      <w:rFonts w:ascii="Times New Roman" w:eastAsia="仿宋_GB2312" w:hAnsi="Times New Roman"/>
                      <w:color w:val="333333"/>
                      <w:kern w:val="0"/>
                      <w:sz w:val="24"/>
                    </w:rPr>
                    <w:t>……</w:t>
                  </w:r>
                </w:p>
              </w:tc>
            </w:tr>
            <w:tr w:rsidR="006C7973" w:rsidTr="00B2794F">
              <w:trPr>
                <w:trHeight w:val="465"/>
                <w:jc w:val="right"/>
              </w:trPr>
              <w:tc>
                <w:tcPr>
                  <w:tcW w:w="1559" w:type="dxa"/>
                  <w:vMerge w:val="restart"/>
                  <w:tcBorders>
                    <w:top w:val="single" w:sz="4" w:space="0" w:color="auto"/>
                    <w:left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kern w:val="0"/>
                      <w:sz w:val="24"/>
                    </w:rPr>
                  </w:pPr>
                  <w:r>
                    <w:rPr>
                      <w:rFonts w:ascii="Times New Roman" w:hAnsi="Times New Roman" w:cs="Calibri"/>
                      <w:snapToGrid w:val="0"/>
                      <w:w w:val="102"/>
                      <w:kern w:val="0"/>
                      <w:sz w:val="24"/>
                    </w:rPr>
                    <w:lastRenderedPageBreak/>
                    <w:t>Polypropylene</w:t>
                  </w:r>
                </w:p>
              </w:tc>
              <w:tc>
                <w:tcPr>
                  <w:tcW w:w="192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 xml:space="preserve">Unilateral open interest </w:t>
                  </w:r>
                  <w:r>
                    <w:rPr>
                      <w:rFonts w:ascii="Times New Roman" w:hAnsi="Times New Roman" w:cs="Calibri" w:hint="eastAsia"/>
                      <w:snapToGrid w:val="0"/>
                      <w:w w:val="102"/>
                      <w:kern w:val="0"/>
                      <w:sz w:val="24"/>
                    </w:rPr>
                    <w:t>≤</w:t>
                  </w:r>
                  <w:r>
                    <w:rPr>
                      <w:rFonts w:ascii="Times New Roman" w:hAnsi="Times New Roman" w:cs="Calibri" w:hint="eastAsia"/>
                      <w:snapToGrid w:val="0"/>
                      <w:w w:val="102"/>
                      <w:kern w:val="0"/>
                      <w:sz w:val="24"/>
                    </w:rPr>
                    <w:t>200,000</w:t>
                  </w:r>
                </w:p>
              </w:tc>
              <w:tc>
                <w:tcPr>
                  <w:tcW w:w="211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20,000</w:t>
                  </w:r>
                </w:p>
              </w:tc>
              <w:tc>
                <w:tcPr>
                  <w:tcW w:w="139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20,000</w:t>
                  </w:r>
                </w:p>
              </w:tc>
            </w:tr>
            <w:tr w:rsidR="006C7973" w:rsidTr="00B2794F">
              <w:trPr>
                <w:trHeight w:val="465"/>
                <w:jc w:val="right"/>
              </w:trPr>
              <w:tc>
                <w:tcPr>
                  <w:tcW w:w="1559" w:type="dxa"/>
                  <w:vMerge/>
                  <w:tcBorders>
                    <w:left w:val="single" w:sz="4" w:space="0" w:color="auto"/>
                    <w:bottom w:val="single" w:sz="4" w:space="0" w:color="auto"/>
                    <w:right w:val="single" w:sz="4" w:space="0" w:color="auto"/>
                  </w:tcBorders>
                  <w:vAlign w:val="center"/>
                </w:tcPr>
                <w:p w:rsidR="006C7973" w:rsidRDefault="006C7973" w:rsidP="00B2794F">
                  <w:pPr>
                    <w:widowControl/>
                    <w:adjustRightInd w:val="0"/>
                    <w:snapToGrid w:val="0"/>
                    <w:spacing w:before="200" w:line="288" w:lineRule="auto"/>
                    <w:jc w:val="center"/>
                    <w:rPr>
                      <w:rFonts w:ascii="Times New Roman" w:hAnsi="Times New Roman" w:cs="Calibri"/>
                      <w:kern w:val="0"/>
                      <w:sz w:val="24"/>
                    </w:rPr>
                  </w:pPr>
                </w:p>
              </w:tc>
              <w:tc>
                <w:tcPr>
                  <w:tcW w:w="192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 xml:space="preserve">Unilateral open interest </w:t>
                  </w:r>
                  <w:r>
                    <w:rPr>
                      <w:rFonts w:ascii="Times New Roman" w:hAnsi="Times New Roman" w:cs="Calibri" w:hint="eastAsia"/>
                      <w:snapToGrid w:val="0"/>
                      <w:w w:val="102"/>
                      <w:kern w:val="0"/>
                      <w:sz w:val="24"/>
                    </w:rPr>
                    <w:t>＞</w:t>
                  </w:r>
                  <w:r>
                    <w:rPr>
                      <w:rFonts w:ascii="Times New Roman" w:hAnsi="Times New Roman" w:cs="Calibri"/>
                      <w:snapToGrid w:val="0"/>
                      <w:w w:val="102"/>
                      <w:kern w:val="0"/>
                      <w:sz w:val="24"/>
                    </w:rPr>
                    <w:t>200,000</w:t>
                  </w:r>
                </w:p>
              </w:tc>
              <w:tc>
                <w:tcPr>
                  <w:tcW w:w="211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Unilateral open interest ×10%</w:t>
                  </w:r>
                </w:p>
              </w:tc>
              <w:tc>
                <w:tcPr>
                  <w:tcW w:w="139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Unilateral open interest ×10%</w:t>
                  </w:r>
                </w:p>
              </w:tc>
            </w:tr>
            <w:tr w:rsidR="006C7973" w:rsidTr="00B2794F">
              <w:trPr>
                <w:trHeight w:val="465"/>
                <w:jc w:val="right"/>
              </w:trPr>
              <w:tc>
                <w:tcPr>
                  <w:tcW w:w="1559"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kern w:val="0"/>
                      <w:sz w:val="24"/>
                    </w:rPr>
                  </w:pPr>
                  <w:r>
                    <w:rPr>
                      <w:rFonts w:ascii="Times New Roman" w:eastAsia="仿宋_GB2312" w:hAnsi="Times New Roman"/>
                      <w:color w:val="333333"/>
                      <w:kern w:val="0"/>
                      <w:sz w:val="24"/>
                      <w:lang w:bidi="ar"/>
                    </w:rPr>
                    <w:t>……</w:t>
                  </w:r>
                </w:p>
              </w:tc>
              <w:tc>
                <w:tcPr>
                  <w:tcW w:w="1920"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snapToGrid w:val="0"/>
                      <w:w w:val="102"/>
                      <w:kern w:val="0"/>
                      <w:sz w:val="24"/>
                    </w:rPr>
                  </w:pPr>
                  <w:r>
                    <w:rPr>
                      <w:rFonts w:ascii="Times New Roman" w:eastAsia="仿宋_GB2312" w:hAnsi="Times New Roman"/>
                      <w:color w:val="333333"/>
                      <w:kern w:val="0"/>
                      <w:sz w:val="24"/>
                      <w:lang w:bidi="ar"/>
                    </w:rPr>
                    <w:t>……</w:t>
                  </w:r>
                </w:p>
              </w:tc>
              <w:tc>
                <w:tcPr>
                  <w:tcW w:w="2111"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snapToGrid w:val="0"/>
                      <w:w w:val="102"/>
                      <w:kern w:val="0"/>
                      <w:sz w:val="24"/>
                    </w:rPr>
                  </w:pPr>
                  <w:r>
                    <w:rPr>
                      <w:rFonts w:ascii="Times New Roman" w:eastAsia="仿宋_GB2312" w:hAnsi="Times New Roman"/>
                      <w:color w:val="333333"/>
                      <w:kern w:val="0"/>
                      <w:sz w:val="24"/>
                      <w:lang w:bidi="ar"/>
                    </w:rPr>
                    <w:t>……</w:t>
                  </w:r>
                </w:p>
              </w:tc>
              <w:tc>
                <w:tcPr>
                  <w:tcW w:w="1392"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snapToGrid w:val="0"/>
                      <w:w w:val="102"/>
                      <w:kern w:val="0"/>
                      <w:sz w:val="24"/>
                    </w:rPr>
                  </w:pPr>
                  <w:r>
                    <w:rPr>
                      <w:rFonts w:ascii="Times New Roman" w:eastAsia="仿宋_GB2312" w:hAnsi="Times New Roman"/>
                      <w:color w:val="333333"/>
                      <w:kern w:val="0"/>
                      <w:sz w:val="24"/>
                      <w:lang w:bidi="ar"/>
                    </w:rPr>
                    <w:t>……</w:t>
                  </w:r>
                </w:p>
              </w:tc>
            </w:tr>
          </w:tbl>
          <w:p w:rsidR="006C7973" w:rsidRDefault="006C7973" w:rsidP="00B2794F">
            <w:pPr>
              <w:widowControl/>
              <w:snapToGrid w:val="0"/>
              <w:spacing w:before="200" w:line="288" w:lineRule="auto"/>
              <w:rPr>
                <w:rFonts w:ascii="Times New Roman" w:eastAsia="楷体_GB2312" w:hAnsi="Times New Roman"/>
                <w:color w:val="000000"/>
                <w:kern w:val="0"/>
                <w:sz w:val="24"/>
              </w:rPr>
            </w:pPr>
          </w:p>
        </w:tc>
        <w:tc>
          <w:tcPr>
            <w:tcW w:w="2572" w:type="pct"/>
            <w:vAlign w:val="center"/>
          </w:tcPr>
          <w:p w:rsidR="006C7973" w:rsidRDefault="006C7973" w:rsidP="00B2794F">
            <w:pPr>
              <w:autoSpaceDE w:val="0"/>
              <w:autoSpaceDN w:val="0"/>
              <w:adjustRightInd w:val="0"/>
              <w:snapToGrid w:val="0"/>
              <w:spacing w:before="200" w:line="288" w:lineRule="auto"/>
              <w:rPr>
                <w:rFonts w:ascii="Times New Roman" w:hAnsi="Times New Roman" w:cs="Calibri"/>
                <w:kern w:val="0"/>
                <w:sz w:val="24"/>
              </w:rPr>
            </w:pPr>
            <w:r>
              <w:rPr>
                <w:rFonts w:ascii="Times New Roman Bold" w:hAnsi="Times New Roman Bold" w:cs="Times New Roman Bold"/>
                <w:b/>
                <w:bCs/>
                <w:kern w:val="0"/>
                <w:sz w:val="24"/>
                <w:lang w:eastAsia="zh-Hans" w:bidi="ar"/>
              </w:rPr>
              <w:lastRenderedPageBreak/>
              <w:t xml:space="preserve">Article 29 </w:t>
            </w:r>
            <w:r>
              <w:rPr>
                <w:rFonts w:ascii="Times New Roman" w:hAnsi="Times New Roman" w:cs="Calibri"/>
                <w:kern w:val="0"/>
                <w:sz w:val="24"/>
                <w:lang w:bidi="ar"/>
              </w:rPr>
              <w:t>Position limits of futures contracts of each product shall be as follows:</w:t>
            </w:r>
          </w:p>
          <w:p w:rsidR="006C7973" w:rsidRDefault="006C7973" w:rsidP="006C7973">
            <w:pPr>
              <w:numPr>
                <w:ilvl w:val="0"/>
                <w:numId w:val="3"/>
              </w:numPr>
              <w:adjustRightInd w:val="0"/>
              <w:snapToGrid w:val="0"/>
              <w:spacing w:before="200" w:line="288" w:lineRule="auto"/>
              <w:ind w:left="283"/>
              <w:rPr>
                <w:rFonts w:ascii="Times New Roman" w:hAnsi="Times New Roman" w:cs="Calibri"/>
                <w:kern w:val="0"/>
                <w:sz w:val="24"/>
              </w:rPr>
            </w:pPr>
            <w:r>
              <w:rPr>
                <w:rFonts w:ascii="Times New Roman" w:hAnsi="Times New Roman" w:cs="Calibri"/>
                <w:kern w:val="0"/>
                <w:sz w:val="24"/>
                <w:lang w:bidi="ar"/>
              </w:rPr>
              <w:t>products other than the iron ore, egg and live hog</w:t>
            </w:r>
          </w:p>
          <w:p w:rsidR="006C7973" w:rsidRDefault="006C7973" w:rsidP="006C7973">
            <w:pPr>
              <w:numPr>
                <w:ilvl w:val="0"/>
                <w:numId w:val="4"/>
              </w:numPr>
              <w:autoSpaceDE w:val="0"/>
              <w:autoSpaceDN w:val="0"/>
              <w:adjustRightInd w:val="0"/>
              <w:snapToGrid w:val="0"/>
              <w:spacing w:before="200" w:line="288" w:lineRule="auto"/>
              <w:ind w:left="567"/>
              <w:rPr>
                <w:rFonts w:ascii="Times New Roman" w:hAnsi="Times New Roman" w:cs="Calibri"/>
                <w:kern w:val="0"/>
                <w:sz w:val="24"/>
              </w:rPr>
            </w:pPr>
            <w:r>
              <w:rPr>
                <w:rFonts w:ascii="Times New Roman" w:hAnsi="Times New Roman" w:cs="Calibri"/>
                <w:kern w:val="0"/>
                <w:sz w:val="24"/>
                <w:lang w:bidi="ar"/>
              </w:rPr>
              <w:t xml:space="preserve"> During the general months of the futures contract of a certain product other than the iron ore, egg and live hog (from the listing of the contract to the fourteenth trading day of the month immediately preceding the delivery month), the position limit applicable to the Non-Futures Company Member, the OSNBP and the client shall be as follows: </w:t>
            </w:r>
          </w:p>
          <w:p w:rsidR="006C7973" w:rsidRDefault="006C7973" w:rsidP="00B2794F">
            <w:pPr>
              <w:autoSpaceDE w:val="0"/>
              <w:autoSpaceDN w:val="0"/>
              <w:adjustRightInd w:val="0"/>
              <w:snapToGrid w:val="0"/>
              <w:spacing w:before="200" w:line="288" w:lineRule="auto"/>
              <w:ind w:left="567"/>
              <w:rPr>
                <w:rFonts w:ascii="Times New Roman" w:hAnsi="Times New Roman" w:cs="Calibri"/>
                <w:kern w:val="0"/>
                <w:sz w:val="24"/>
              </w:rPr>
            </w:pPr>
            <w:r>
              <w:rPr>
                <w:rFonts w:ascii="Times New Roman" w:hAnsi="Times New Roman" w:cs="Calibri"/>
                <w:kern w:val="0"/>
                <w:sz w:val="24"/>
                <w:lang w:bidi="ar"/>
              </w:rPr>
              <w:t>(Unit: Lot)</w:t>
            </w:r>
          </w:p>
          <w:tbl>
            <w:tblPr>
              <w:tblW w:w="6982" w:type="dxa"/>
              <w:jc w:val="right"/>
              <w:tblCellMar>
                <w:left w:w="0" w:type="dxa"/>
                <w:right w:w="0" w:type="dxa"/>
              </w:tblCellMar>
              <w:tblLook w:val="0000" w:firstRow="0" w:lastRow="0" w:firstColumn="0" w:lastColumn="0" w:noHBand="0" w:noVBand="0"/>
            </w:tblPr>
            <w:tblGrid>
              <w:gridCol w:w="1559"/>
              <w:gridCol w:w="1920"/>
              <w:gridCol w:w="2111"/>
              <w:gridCol w:w="1392"/>
            </w:tblGrid>
            <w:tr w:rsidR="006C7973" w:rsidTr="00B2794F">
              <w:trPr>
                <w:trHeight w:val="465"/>
                <w:jc w:val="right"/>
              </w:trPr>
              <w:tc>
                <w:tcPr>
                  <w:tcW w:w="1559" w:type="dxa"/>
                  <w:tcBorders>
                    <w:top w:val="single" w:sz="4" w:space="0" w:color="auto"/>
                    <w:left w:val="single" w:sz="4" w:space="0" w:color="231F20"/>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rPr>
                  </w:pPr>
                  <w:r>
                    <w:rPr>
                      <w:rFonts w:ascii="Times New Roman" w:hAnsi="Times New Roman" w:cs="Calibri"/>
                      <w:b/>
                      <w:kern w:val="0"/>
                      <w:sz w:val="24"/>
                      <w:lang w:bidi="ar"/>
                    </w:rPr>
                    <w:t>Product</w:t>
                  </w:r>
                </w:p>
              </w:tc>
              <w:tc>
                <w:tcPr>
                  <w:tcW w:w="192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rPr>
                  </w:pPr>
                  <w:r>
                    <w:rPr>
                      <w:rFonts w:ascii="Times New Roman" w:hAnsi="Times New Roman" w:cs="Calibri"/>
                      <w:b/>
                      <w:kern w:val="0"/>
                      <w:sz w:val="24"/>
                      <w:lang w:bidi="ar"/>
                    </w:rPr>
                    <w:t>Unilateral Open Interest of Contract</w:t>
                  </w:r>
                </w:p>
              </w:tc>
              <w:tc>
                <w:tcPr>
                  <w:tcW w:w="211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rPr>
                  </w:pPr>
                  <w:r>
                    <w:rPr>
                      <w:rFonts w:ascii="Times New Roman" w:hAnsi="Times New Roman" w:cs="Calibri"/>
                      <w:b/>
                      <w:kern w:val="0"/>
                      <w:sz w:val="24"/>
                      <w:lang w:bidi="ar"/>
                    </w:rPr>
                    <w:t>Non-Futures Company Member/OSNBP</w:t>
                  </w:r>
                </w:p>
              </w:tc>
              <w:tc>
                <w:tcPr>
                  <w:tcW w:w="139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rPr>
                  </w:pPr>
                  <w:r>
                    <w:rPr>
                      <w:rFonts w:ascii="Times New Roman" w:hAnsi="Times New Roman" w:cs="Calibri"/>
                      <w:b/>
                      <w:kern w:val="0"/>
                      <w:sz w:val="24"/>
                      <w:lang w:bidi="ar"/>
                    </w:rPr>
                    <w:t>Client</w:t>
                  </w:r>
                </w:p>
              </w:tc>
            </w:tr>
            <w:tr w:rsidR="006C7973" w:rsidTr="00B2794F">
              <w:trPr>
                <w:trHeight w:val="465"/>
                <w:jc w:val="right"/>
              </w:trPr>
              <w:tc>
                <w:tcPr>
                  <w:tcW w:w="1559"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kern w:val="0"/>
                      <w:sz w:val="24"/>
                    </w:rPr>
                  </w:pPr>
                  <w:r>
                    <w:rPr>
                      <w:rFonts w:ascii="Times New Roman" w:eastAsia="仿宋_GB2312" w:hAnsi="Times New Roman"/>
                      <w:color w:val="333333"/>
                      <w:kern w:val="0"/>
                      <w:sz w:val="24"/>
                    </w:rPr>
                    <w:t>……</w:t>
                  </w:r>
                </w:p>
              </w:tc>
              <w:tc>
                <w:tcPr>
                  <w:tcW w:w="1920"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kern w:val="0"/>
                      <w:sz w:val="24"/>
                    </w:rPr>
                  </w:pPr>
                  <w:r>
                    <w:rPr>
                      <w:rFonts w:ascii="Times New Roman" w:eastAsia="仿宋_GB2312" w:hAnsi="Times New Roman"/>
                      <w:color w:val="333333"/>
                      <w:kern w:val="0"/>
                      <w:sz w:val="24"/>
                    </w:rPr>
                    <w:t>……</w:t>
                  </w:r>
                </w:p>
              </w:tc>
              <w:tc>
                <w:tcPr>
                  <w:tcW w:w="2111"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kern w:val="0"/>
                      <w:sz w:val="24"/>
                    </w:rPr>
                  </w:pPr>
                  <w:r>
                    <w:rPr>
                      <w:rFonts w:ascii="Times New Roman" w:eastAsia="仿宋_GB2312" w:hAnsi="Times New Roman"/>
                      <w:color w:val="333333"/>
                      <w:kern w:val="0"/>
                      <w:sz w:val="24"/>
                    </w:rPr>
                    <w:t>……</w:t>
                  </w:r>
                </w:p>
              </w:tc>
              <w:tc>
                <w:tcPr>
                  <w:tcW w:w="1392"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kern w:val="0"/>
                      <w:sz w:val="24"/>
                    </w:rPr>
                  </w:pPr>
                  <w:r>
                    <w:rPr>
                      <w:rFonts w:ascii="Times New Roman" w:eastAsia="仿宋_GB2312" w:hAnsi="Times New Roman"/>
                      <w:color w:val="333333"/>
                      <w:kern w:val="0"/>
                      <w:sz w:val="24"/>
                    </w:rPr>
                    <w:t>……</w:t>
                  </w:r>
                </w:p>
              </w:tc>
            </w:tr>
            <w:tr w:rsidR="006C7973" w:rsidTr="00B2794F">
              <w:trPr>
                <w:trHeight w:val="465"/>
                <w:jc w:val="right"/>
              </w:trPr>
              <w:tc>
                <w:tcPr>
                  <w:tcW w:w="1559" w:type="dxa"/>
                  <w:vMerge w:val="restart"/>
                  <w:tcBorders>
                    <w:top w:val="single" w:sz="4" w:space="0" w:color="auto"/>
                    <w:left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kern w:val="0"/>
                      <w:sz w:val="24"/>
                    </w:rPr>
                  </w:pPr>
                  <w:r>
                    <w:rPr>
                      <w:rFonts w:ascii="Times New Roman" w:hAnsi="Times New Roman" w:cs="Calibri"/>
                      <w:snapToGrid w:val="0"/>
                      <w:w w:val="102"/>
                      <w:kern w:val="0"/>
                      <w:sz w:val="24"/>
                    </w:rPr>
                    <w:lastRenderedPageBreak/>
                    <w:t>No. 2 soybeans</w:t>
                  </w:r>
                </w:p>
              </w:tc>
              <w:tc>
                <w:tcPr>
                  <w:tcW w:w="192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kern w:val="0"/>
                      <w:sz w:val="24"/>
                    </w:rPr>
                  </w:pPr>
                  <w:r>
                    <w:rPr>
                      <w:rFonts w:ascii="Times New Roman" w:hAnsi="Times New Roman" w:cs="Calibri"/>
                      <w:snapToGrid w:val="0"/>
                      <w:w w:val="102"/>
                      <w:kern w:val="0"/>
                      <w:sz w:val="24"/>
                    </w:rPr>
                    <w:t xml:space="preserve">Unilateral open interest </w:t>
                  </w:r>
                  <w:r>
                    <w:rPr>
                      <w:rFonts w:ascii="Times New Roman" w:hAnsi="Times New Roman" w:cs="Calibri" w:hint="eastAsia"/>
                      <w:snapToGrid w:val="0"/>
                      <w:w w:val="102"/>
                      <w:kern w:val="0"/>
                      <w:sz w:val="24"/>
                    </w:rPr>
                    <w:t>≤</w:t>
                  </w:r>
                  <w:r>
                    <w:rPr>
                      <w:rFonts w:ascii="Times New Roman" w:eastAsia="仿宋_GB2312" w:hAnsi="Times New Roman"/>
                      <w:dstrike/>
                      <w:color w:val="333333"/>
                      <w:sz w:val="24"/>
                    </w:rPr>
                    <w:t>200,000</w:t>
                  </w:r>
                  <w:r>
                    <w:rPr>
                      <w:rFonts w:ascii="Times New Roman" w:eastAsia="仿宋_GB2312" w:hAnsi="Times New Roman"/>
                      <w:color w:val="333333"/>
                      <w:sz w:val="24"/>
                      <w:shd w:val="clear" w:color="FFFFFF" w:fill="D9D9D9"/>
                    </w:rPr>
                    <w:t>100,000</w:t>
                  </w:r>
                </w:p>
              </w:tc>
              <w:tc>
                <w:tcPr>
                  <w:tcW w:w="2111"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eastAsia="仿宋_GB2312" w:hAnsi="Times New Roman"/>
                      <w:dstrike/>
                      <w:color w:val="333333"/>
                      <w:sz w:val="24"/>
                    </w:rPr>
                  </w:pPr>
                  <w:r>
                    <w:rPr>
                      <w:rFonts w:ascii="Times New Roman" w:eastAsia="仿宋_GB2312" w:hAnsi="Times New Roman"/>
                      <w:dstrike/>
                      <w:color w:val="333333"/>
                      <w:sz w:val="24"/>
                    </w:rPr>
                    <w:t>20,000</w:t>
                  </w:r>
                </w:p>
                <w:p w:rsidR="006C7973" w:rsidRDefault="006C7973" w:rsidP="00B2794F">
                  <w:pPr>
                    <w:widowControl/>
                    <w:snapToGrid w:val="0"/>
                    <w:spacing w:before="200" w:line="288" w:lineRule="auto"/>
                    <w:jc w:val="center"/>
                    <w:rPr>
                      <w:rFonts w:ascii="Times New Roman" w:hAnsi="Times New Roman" w:cs="Calibri"/>
                      <w:kern w:val="0"/>
                      <w:sz w:val="24"/>
                    </w:rPr>
                  </w:pPr>
                  <w:r>
                    <w:rPr>
                      <w:rFonts w:ascii="Times New Roman" w:eastAsia="仿宋_GB2312" w:hAnsi="Times New Roman"/>
                      <w:color w:val="333333"/>
                      <w:sz w:val="24"/>
                      <w:shd w:val="clear" w:color="FFFFFF" w:fill="D9D9D9"/>
                    </w:rPr>
                    <w:t>5,000</w:t>
                  </w:r>
                </w:p>
              </w:tc>
              <w:tc>
                <w:tcPr>
                  <w:tcW w:w="1392"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eastAsia="仿宋_GB2312" w:hAnsi="Times New Roman"/>
                      <w:dstrike/>
                      <w:color w:val="333333"/>
                      <w:sz w:val="24"/>
                    </w:rPr>
                  </w:pPr>
                  <w:r>
                    <w:rPr>
                      <w:rFonts w:ascii="Times New Roman" w:eastAsia="仿宋_GB2312" w:hAnsi="Times New Roman"/>
                      <w:dstrike/>
                      <w:color w:val="333333"/>
                      <w:sz w:val="24"/>
                    </w:rPr>
                    <w:t>20,000</w:t>
                  </w:r>
                </w:p>
                <w:p w:rsidR="006C7973" w:rsidRDefault="006C7973" w:rsidP="00B2794F">
                  <w:pPr>
                    <w:widowControl/>
                    <w:snapToGrid w:val="0"/>
                    <w:spacing w:before="200" w:line="288" w:lineRule="auto"/>
                    <w:jc w:val="center"/>
                    <w:rPr>
                      <w:rFonts w:ascii="Times New Roman" w:hAnsi="Times New Roman" w:cs="Calibri"/>
                      <w:kern w:val="0"/>
                      <w:sz w:val="24"/>
                    </w:rPr>
                  </w:pPr>
                  <w:r>
                    <w:rPr>
                      <w:rFonts w:ascii="Times New Roman" w:eastAsia="仿宋_GB2312" w:hAnsi="Times New Roman"/>
                      <w:color w:val="333333"/>
                      <w:sz w:val="24"/>
                      <w:shd w:val="clear" w:color="FFFFFF" w:fill="D9D9D9"/>
                    </w:rPr>
                    <w:t>5,000</w:t>
                  </w:r>
                </w:p>
              </w:tc>
            </w:tr>
            <w:tr w:rsidR="006C7973" w:rsidTr="00B2794F">
              <w:trPr>
                <w:trHeight w:val="465"/>
                <w:jc w:val="right"/>
              </w:trPr>
              <w:tc>
                <w:tcPr>
                  <w:tcW w:w="1559" w:type="dxa"/>
                  <w:vMerge/>
                  <w:tcBorders>
                    <w:left w:val="single" w:sz="4" w:space="0" w:color="auto"/>
                    <w:bottom w:val="single" w:sz="4" w:space="0" w:color="auto"/>
                    <w:right w:val="single" w:sz="4" w:space="0" w:color="auto"/>
                  </w:tcBorders>
                  <w:vAlign w:val="center"/>
                </w:tcPr>
                <w:p w:rsidR="006C7973" w:rsidRDefault="006C7973" w:rsidP="00B2794F">
                  <w:pPr>
                    <w:widowControl/>
                    <w:adjustRightInd w:val="0"/>
                    <w:snapToGrid w:val="0"/>
                    <w:spacing w:before="200" w:line="288" w:lineRule="auto"/>
                    <w:jc w:val="center"/>
                    <w:rPr>
                      <w:rFonts w:ascii="Times New Roman" w:hAnsi="Times New Roman" w:cs="Calibri"/>
                      <w:kern w:val="0"/>
                      <w:sz w:val="24"/>
                    </w:rPr>
                  </w:pPr>
                </w:p>
              </w:tc>
              <w:tc>
                <w:tcPr>
                  <w:tcW w:w="192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kern w:val="0"/>
                      <w:sz w:val="24"/>
                    </w:rPr>
                  </w:pPr>
                  <w:r>
                    <w:rPr>
                      <w:rFonts w:ascii="Times New Roman" w:hAnsi="Times New Roman" w:cs="Calibri"/>
                      <w:snapToGrid w:val="0"/>
                      <w:w w:val="102"/>
                      <w:kern w:val="0"/>
                      <w:sz w:val="24"/>
                    </w:rPr>
                    <w:t xml:space="preserve">Unilateral open interest </w:t>
                  </w:r>
                  <w:r>
                    <w:rPr>
                      <w:rFonts w:ascii="Times New Roman" w:hAnsi="Times New Roman" w:cs="Calibri" w:hint="eastAsia"/>
                      <w:snapToGrid w:val="0"/>
                      <w:w w:val="102"/>
                      <w:kern w:val="0"/>
                      <w:sz w:val="24"/>
                    </w:rPr>
                    <w:t>＞</w:t>
                  </w:r>
                  <w:r>
                    <w:rPr>
                      <w:rFonts w:ascii="Times New Roman" w:eastAsia="仿宋_GB2312" w:hAnsi="Times New Roman"/>
                      <w:dstrike/>
                      <w:color w:val="333333"/>
                      <w:sz w:val="24"/>
                    </w:rPr>
                    <w:t>200,000</w:t>
                  </w:r>
                  <w:r>
                    <w:rPr>
                      <w:rFonts w:ascii="Times New Roman" w:eastAsia="仿宋_GB2312" w:hAnsi="Times New Roman"/>
                      <w:color w:val="333333"/>
                      <w:sz w:val="24"/>
                      <w:shd w:val="clear" w:color="FFFFFF" w:fill="D9D9D9"/>
                    </w:rPr>
                    <w:t>100,000</w:t>
                  </w:r>
                </w:p>
              </w:tc>
              <w:tc>
                <w:tcPr>
                  <w:tcW w:w="211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kern w:val="0"/>
                      <w:sz w:val="24"/>
                    </w:rPr>
                  </w:pPr>
                  <w:r>
                    <w:rPr>
                      <w:rFonts w:ascii="Times New Roman" w:hAnsi="Times New Roman" w:cs="Calibri"/>
                      <w:snapToGrid w:val="0"/>
                      <w:w w:val="102"/>
                      <w:kern w:val="0"/>
                      <w:sz w:val="24"/>
                    </w:rPr>
                    <w:t>Unilateral open interest ×</w:t>
                  </w:r>
                  <w:r>
                    <w:rPr>
                      <w:rFonts w:ascii="Times New Roman" w:eastAsia="仿宋_GB2312" w:hAnsi="Times New Roman"/>
                      <w:dstrike/>
                      <w:color w:val="333333"/>
                      <w:sz w:val="24"/>
                    </w:rPr>
                    <w:t>10</w:t>
                  </w:r>
                  <w:r>
                    <w:rPr>
                      <w:rFonts w:ascii="Times New Roman" w:eastAsia="仿宋_GB2312" w:hAnsi="Times New Roman"/>
                      <w:color w:val="333333"/>
                      <w:sz w:val="24"/>
                      <w:shd w:val="clear" w:color="FFFFFF" w:fill="D9D9D9"/>
                    </w:rPr>
                    <w:t>5</w:t>
                  </w:r>
                  <w:r>
                    <w:rPr>
                      <w:rFonts w:ascii="Times New Roman" w:hAnsi="Times New Roman" w:cs="Calibri"/>
                      <w:snapToGrid w:val="0"/>
                      <w:w w:val="102"/>
                      <w:kern w:val="0"/>
                      <w:sz w:val="24"/>
                    </w:rPr>
                    <w:t>%</w:t>
                  </w:r>
                </w:p>
              </w:tc>
              <w:tc>
                <w:tcPr>
                  <w:tcW w:w="139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kern w:val="0"/>
                      <w:sz w:val="24"/>
                    </w:rPr>
                  </w:pPr>
                  <w:r>
                    <w:rPr>
                      <w:rFonts w:ascii="Times New Roman" w:hAnsi="Times New Roman" w:cs="Calibri"/>
                      <w:snapToGrid w:val="0"/>
                      <w:w w:val="102"/>
                      <w:kern w:val="0"/>
                      <w:sz w:val="24"/>
                    </w:rPr>
                    <w:t>Unilateral open interest ×</w:t>
                  </w:r>
                  <w:r>
                    <w:rPr>
                      <w:rFonts w:ascii="Times New Roman" w:eastAsia="仿宋_GB2312" w:hAnsi="Times New Roman"/>
                      <w:dstrike/>
                      <w:color w:val="333333"/>
                      <w:sz w:val="24"/>
                    </w:rPr>
                    <w:t>10</w:t>
                  </w:r>
                  <w:r>
                    <w:rPr>
                      <w:rFonts w:ascii="Times New Roman" w:eastAsia="仿宋_GB2312" w:hAnsi="Times New Roman"/>
                      <w:color w:val="333333"/>
                      <w:sz w:val="24"/>
                      <w:shd w:val="clear" w:color="FFFFFF" w:fill="D9D9D9"/>
                    </w:rPr>
                    <w:t>5</w:t>
                  </w:r>
                  <w:r>
                    <w:rPr>
                      <w:rFonts w:ascii="Times New Roman" w:hAnsi="Times New Roman" w:cs="Calibri"/>
                      <w:snapToGrid w:val="0"/>
                      <w:w w:val="102"/>
                      <w:kern w:val="0"/>
                      <w:sz w:val="24"/>
                    </w:rPr>
                    <w:t>%</w:t>
                  </w:r>
                </w:p>
              </w:tc>
            </w:tr>
            <w:tr w:rsidR="006C7973" w:rsidTr="00B2794F">
              <w:trPr>
                <w:trHeight w:val="465"/>
                <w:jc w:val="right"/>
              </w:trPr>
              <w:tc>
                <w:tcPr>
                  <w:tcW w:w="1559"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kern w:val="0"/>
                      <w:sz w:val="24"/>
                    </w:rPr>
                  </w:pPr>
                  <w:r>
                    <w:rPr>
                      <w:rFonts w:ascii="Times New Roman" w:eastAsia="仿宋_GB2312" w:hAnsi="Times New Roman"/>
                      <w:color w:val="333333"/>
                      <w:kern w:val="0"/>
                      <w:sz w:val="24"/>
                    </w:rPr>
                    <w:t>……</w:t>
                  </w:r>
                </w:p>
              </w:tc>
              <w:tc>
                <w:tcPr>
                  <w:tcW w:w="1920"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snapToGrid w:val="0"/>
                      <w:w w:val="102"/>
                      <w:kern w:val="0"/>
                      <w:sz w:val="24"/>
                    </w:rPr>
                  </w:pPr>
                  <w:r>
                    <w:rPr>
                      <w:rFonts w:ascii="Times New Roman" w:eastAsia="仿宋_GB2312" w:hAnsi="Times New Roman"/>
                      <w:color w:val="333333"/>
                      <w:kern w:val="0"/>
                      <w:sz w:val="24"/>
                    </w:rPr>
                    <w:t>……</w:t>
                  </w:r>
                </w:p>
              </w:tc>
              <w:tc>
                <w:tcPr>
                  <w:tcW w:w="2111"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snapToGrid w:val="0"/>
                      <w:w w:val="102"/>
                      <w:kern w:val="0"/>
                      <w:sz w:val="24"/>
                    </w:rPr>
                  </w:pPr>
                  <w:r>
                    <w:rPr>
                      <w:rFonts w:ascii="Times New Roman" w:eastAsia="仿宋_GB2312" w:hAnsi="Times New Roman"/>
                      <w:color w:val="333333"/>
                      <w:kern w:val="0"/>
                      <w:sz w:val="24"/>
                    </w:rPr>
                    <w:t>……</w:t>
                  </w:r>
                </w:p>
              </w:tc>
              <w:tc>
                <w:tcPr>
                  <w:tcW w:w="1392"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snapToGrid w:val="0"/>
                      <w:w w:val="102"/>
                      <w:kern w:val="0"/>
                      <w:sz w:val="24"/>
                    </w:rPr>
                  </w:pPr>
                  <w:r>
                    <w:rPr>
                      <w:rFonts w:ascii="Times New Roman" w:eastAsia="仿宋_GB2312" w:hAnsi="Times New Roman"/>
                      <w:color w:val="333333"/>
                      <w:kern w:val="0"/>
                      <w:sz w:val="24"/>
                    </w:rPr>
                    <w:t>……</w:t>
                  </w:r>
                </w:p>
              </w:tc>
            </w:tr>
            <w:tr w:rsidR="006C7973" w:rsidTr="00B2794F">
              <w:trPr>
                <w:trHeight w:val="465"/>
                <w:jc w:val="right"/>
              </w:trPr>
              <w:tc>
                <w:tcPr>
                  <w:tcW w:w="1559" w:type="dxa"/>
                  <w:vMerge w:val="restart"/>
                  <w:tcBorders>
                    <w:top w:val="single" w:sz="4" w:space="0" w:color="auto"/>
                    <w:left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kern w:val="0"/>
                      <w:sz w:val="24"/>
                    </w:rPr>
                  </w:pPr>
                  <w:r>
                    <w:rPr>
                      <w:rFonts w:ascii="Times New Roman" w:hAnsi="Times New Roman" w:cs="Calibri"/>
                      <w:snapToGrid w:val="0"/>
                      <w:w w:val="102"/>
                      <w:kern w:val="0"/>
                      <w:sz w:val="24"/>
                    </w:rPr>
                    <w:t>Linear low density polyethylene</w:t>
                  </w:r>
                </w:p>
              </w:tc>
              <w:tc>
                <w:tcPr>
                  <w:tcW w:w="192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 xml:space="preserve">Unilateral open interest </w:t>
                  </w:r>
                  <w:r>
                    <w:rPr>
                      <w:rFonts w:ascii="Times New Roman" w:hAnsi="Times New Roman" w:cs="Calibri" w:hint="eastAsia"/>
                      <w:snapToGrid w:val="0"/>
                      <w:w w:val="102"/>
                      <w:kern w:val="0"/>
                      <w:sz w:val="24"/>
                    </w:rPr>
                    <w:t>≤</w:t>
                  </w:r>
                  <w:r>
                    <w:rPr>
                      <w:rFonts w:ascii="Times New Roman" w:hAnsi="Times New Roman" w:cs="Calibri" w:hint="eastAsia"/>
                      <w:dstrike/>
                      <w:snapToGrid w:val="0"/>
                      <w:w w:val="102"/>
                      <w:sz w:val="24"/>
                    </w:rPr>
                    <w:t>1</w:t>
                  </w:r>
                  <w:r>
                    <w:rPr>
                      <w:rFonts w:ascii="Times New Roman" w:eastAsia="仿宋_GB2312" w:hAnsi="Times New Roman"/>
                      <w:dstrike/>
                      <w:color w:val="333333"/>
                      <w:sz w:val="24"/>
                    </w:rPr>
                    <w:t>00,000</w:t>
                  </w:r>
                  <w:r>
                    <w:rPr>
                      <w:rFonts w:ascii="Times New Roman" w:eastAsia="仿宋_GB2312" w:hAnsi="Times New Roman"/>
                      <w:color w:val="333333"/>
                      <w:sz w:val="24"/>
                      <w:shd w:val="clear" w:color="FFFFFF" w:fill="D9D9D9"/>
                    </w:rPr>
                    <w:t>200,000</w:t>
                  </w:r>
                </w:p>
              </w:tc>
              <w:tc>
                <w:tcPr>
                  <w:tcW w:w="211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20,000</w:t>
                  </w:r>
                </w:p>
              </w:tc>
              <w:tc>
                <w:tcPr>
                  <w:tcW w:w="139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snapToGrid w:val="0"/>
                    <w:spacing w:before="200" w:line="288" w:lineRule="auto"/>
                    <w:jc w:val="center"/>
                    <w:rPr>
                      <w:rFonts w:ascii="Times New Roman" w:eastAsia="仿宋_GB2312" w:hAnsi="Times New Roman"/>
                      <w:dstrike/>
                      <w:color w:val="333333"/>
                      <w:sz w:val="24"/>
                    </w:rPr>
                  </w:pPr>
                  <w:r>
                    <w:rPr>
                      <w:rFonts w:ascii="Times New Roman" w:eastAsia="仿宋_GB2312" w:hAnsi="Times New Roman"/>
                      <w:dstrike/>
                      <w:color w:val="333333"/>
                      <w:sz w:val="24"/>
                    </w:rPr>
                    <w:t>10,000</w:t>
                  </w:r>
                </w:p>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eastAsia="仿宋_GB2312" w:hAnsi="Times New Roman"/>
                      <w:color w:val="333333"/>
                      <w:sz w:val="24"/>
                      <w:highlight w:val="lightGray"/>
                    </w:rPr>
                    <w:t>20,000</w:t>
                  </w:r>
                </w:p>
              </w:tc>
            </w:tr>
            <w:tr w:rsidR="006C7973" w:rsidTr="00B2794F">
              <w:trPr>
                <w:trHeight w:val="465"/>
                <w:jc w:val="right"/>
              </w:trPr>
              <w:tc>
                <w:tcPr>
                  <w:tcW w:w="1559" w:type="dxa"/>
                  <w:vMerge/>
                  <w:tcBorders>
                    <w:left w:val="single" w:sz="4" w:space="0" w:color="auto"/>
                    <w:bottom w:val="single" w:sz="4" w:space="0" w:color="auto"/>
                    <w:right w:val="single" w:sz="4" w:space="0" w:color="auto"/>
                  </w:tcBorders>
                  <w:vAlign w:val="center"/>
                </w:tcPr>
                <w:p w:rsidR="006C7973" w:rsidRDefault="006C7973" w:rsidP="00B2794F">
                  <w:pPr>
                    <w:widowControl/>
                    <w:adjustRightInd w:val="0"/>
                    <w:snapToGrid w:val="0"/>
                    <w:spacing w:before="200" w:line="288" w:lineRule="auto"/>
                    <w:jc w:val="center"/>
                    <w:rPr>
                      <w:rFonts w:ascii="Times New Roman" w:hAnsi="Times New Roman" w:cs="Calibri"/>
                      <w:kern w:val="0"/>
                      <w:sz w:val="24"/>
                    </w:rPr>
                  </w:pPr>
                </w:p>
              </w:tc>
              <w:tc>
                <w:tcPr>
                  <w:tcW w:w="192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 xml:space="preserve">Unilateral open interest </w:t>
                  </w:r>
                  <w:r>
                    <w:rPr>
                      <w:rFonts w:ascii="Times New Roman" w:hAnsi="Times New Roman" w:cs="Calibri" w:hint="eastAsia"/>
                      <w:snapToGrid w:val="0"/>
                      <w:w w:val="102"/>
                      <w:kern w:val="0"/>
                      <w:sz w:val="24"/>
                    </w:rPr>
                    <w:t>＞</w:t>
                  </w:r>
                  <w:r>
                    <w:rPr>
                      <w:rFonts w:ascii="Times New Roman" w:eastAsia="仿宋_GB2312" w:hAnsi="Times New Roman"/>
                      <w:dstrike/>
                      <w:color w:val="333333"/>
                      <w:sz w:val="24"/>
                    </w:rPr>
                    <w:t>100,000</w:t>
                  </w:r>
                  <w:r>
                    <w:rPr>
                      <w:rFonts w:ascii="Times New Roman" w:eastAsia="仿宋_GB2312" w:hAnsi="Times New Roman"/>
                      <w:color w:val="333333"/>
                      <w:sz w:val="24"/>
                      <w:shd w:val="clear" w:color="FFFFFF" w:fill="D9D9D9"/>
                    </w:rPr>
                    <w:t>200,000</w:t>
                  </w:r>
                </w:p>
              </w:tc>
              <w:tc>
                <w:tcPr>
                  <w:tcW w:w="211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Unilateral open interest ×</w:t>
                  </w:r>
                  <w:r>
                    <w:rPr>
                      <w:rFonts w:ascii="Times New Roman" w:eastAsia="仿宋_GB2312" w:hAnsi="Times New Roman"/>
                      <w:dstrike/>
                      <w:color w:val="333333"/>
                      <w:sz w:val="24"/>
                    </w:rPr>
                    <w:t>20%</w:t>
                  </w:r>
                  <w:r>
                    <w:rPr>
                      <w:rFonts w:ascii="Times New Roman" w:eastAsia="仿宋_GB2312" w:hAnsi="Times New Roman"/>
                      <w:color w:val="333333"/>
                      <w:sz w:val="24"/>
                      <w:highlight w:val="lightGray"/>
                    </w:rPr>
                    <w:t>10%</w:t>
                  </w:r>
                </w:p>
              </w:tc>
              <w:tc>
                <w:tcPr>
                  <w:tcW w:w="139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Unilateral open interest ×10%</w:t>
                  </w:r>
                </w:p>
              </w:tc>
            </w:tr>
            <w:tr w:rsidR="006C7973" w:rsidTr="00B2794F">
              <w:trPr>
                <w:trHeight w:val="465"/>
                <w:jc w:val="right"/>
              </w:trPr>
              <w:tc>
                <w:tcPr>
                  <w:tcW w:w="1559" w:type="dxa"/>
                  <w:vMerge w:val="restart"/>
                  <w:tcBorders>
                    <w:top w:val="single" w:sz="4" w:space="0" w:color="auto"/>
                    <w:left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kern w:val="0"/>
                      <w:sz w:val="24"/>
                    </w:rPr>
                  </w:pPr>
                  <w:r>
                    <w:rPr>
                      <w:rFonts w:ascii="Times New Roman" w:hAnsi="Times New Roman" w:cs="Calibri"/>
                      <w:snapToGrid w:val="0"/>
                      <w:w w:val="102"/>
                      <w:kern w:val="0"/>
                      <w:sz w:val="24"/>
                    </w:rPr>
                    <w:t>Polyvinyl chloride</w:t>
                  </w:r>
                </w:p>
              </w:tc>
              <w:tc>
                <w:tcPr>
                  <w:tcW w:w="192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 xml:space="preserve">Unilateral open interest </w:t>
                  </w:r>
                  <w:r>
                    <w:rPr>
                      <w:rFonts w:ascii="Times New Roman" w:hAnsi="Times New Roman" w:cs="Calibri" w:hint="eastAsia"/>
                      <w:snapToGrid w:val="0"/>
                      <w:w w:val="102"/>
                      <w:kern w:val="0"/>
                      <w:sz w:val="24"/>
                    </w:rPr>
                    <w:t>≤</w:t>
                  </w:r>
                  <w:r>
                    <w:rPr>
                      <w:rFonts w:ascii="Times New Roman" w:hAnsi="Times New Roman" w:cs="Calibri" w:hint="eastAsia"/>
                      <w:snapToGrid w:val="0"/>
                      <w:w w:val="102"/>
                      <w:kern w:val="0"/>
                      <w:sz w:val="24"/>
                    </w:rPr>
                    <w:t>200,000</w:t>
                  </w:r>
                </w:p>
              </w:tc>
              <w:tc>
                <w:tcPr>
                  <w:tcW w:w="211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snapToGrid w:val="0"/>
                    <w:spacing w:before="200" w:line="288" w:lineRule="auto"/>
                    <w:jc w:val="center"/>
                    <w:rPr>
                      <w:rFonts w:ascii="Times New Roman" w:eastAsia="仿宋_GB2312" w:hAnsi="Times New Roman"/>
                      <w:dstrike/>
                      <w:color w:val="333333"/>
                      <w:sz w:val="24"/>
                    </w:rPr>
                  </w:pPr>
                  <w:r>
                    <w:rPr>
                      <w:rFonts w:ascii="Times New Roman" w:eastAsia="仿宋_GB2312" w:hAnsi="Times New Roman"/>
                      <w:dstrike/>
                      <w:color w:val="333333"/>
                      <w:sz w:val="24"/>
                    </w:rPr>
                    <w:t>40,000</w:t>
                  </w:r>
                </w:p>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eastAsia="仿宋_GB2312" w:hAnsi="Times New Roman"/>
                      <w:color w:val="333333"/>
                      <w:sz w:val="24"/>
                      <w:highlight w:val="lightGray"/>
                    </w:rPr>
                    <w:t>20,000</w:t>
                  </w:r>
                </w:p>
              </w:tc>
              <w:tc>
                <w:tcPr>
                  <w:tcW w:w="139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20,000</w:t>
                  </w:r>
                </w:p>
              </w:tc>
            </w:tr>
            <w:tr w:rsidR="006C7973" w:rsidTr="00B2794F">
              <w:trPr>
                <w:trHeight w:val="465"/>
                <w:jc w:val="right"/>
              </w:trPr>
              <w:tc>
                <w:tcPr>
                  <w:tcW w:w="1559" w:type="dxa"/>
                  <w:vMerge/>
                  <w:tcBorders>
                    <w:left w:val="single" w:sz="4" w:space="0" w:color="auto"/>
                    <w:bottom w:val="single" w:sz="4" w:space="0" w:color="auto"/>
                    <w:right w:val="single" w:sz="4" w:space="0" w:color="auto"/>
                  </w:tcBorders>
                  <w:vAlign w:val="center"/>
                </w:tcPr>
                <w:p w:rsidR="006C7973" w:rsidRDefault="006C7973" w:rsidP="00B2794F">
                  <w:pPr>
                    <w:widowControl/>
                    <w:adjustRightInd w:val="0"/>
                    <w:snapToGrid w:val="0"/>
                    <w:spacing w:before="200" w:line="288" w:lineRule="auto"/>
                    <w:jc w:val="center"/>
                    <w:rPr>
                      <w:rFonts w:ascii="Times New Roman" w:hAnsi="Times New Roman" w:cs="Calibri"/>
                      <w:kern w:val="0"/>
                      <w:sz w:val="24"/>
                    </w:rPr>
                  </w:pPr>
                </w:p>
              </w:tc>
              <w:tc>
                <w:tcPr>
                  <w:tcW w:w="192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 xml:space="preserve">Unilateral open interest </w:t>
                  </w:r>
                  <w:r>
                    <w:rPr>
                      <w:rFonts w:ascii="Times New Roman" w:hAnsi="Times New Roman" w:cs="Calibri" w:hint="eastAsia"/>
                      <w:snapToGrid w:val="0"/>
                      <w:w w:val="102"/>
                      <w:kern w:val="0"/>
                      <w:sz w:val="24"/>
                    </w:rPr>
                    <w:t>＞</w:t>
                  </w:r>
                  <w:r>
                    <w:rPr>
                      <w:rFonts w:ascii="Times New Roman" w:hAnsi="Times New Roman" w:cs="Calibri"/>
                      <w:snapToGrid w:val="0"/>
                      <w:w w:val="102"/>
                      <w:kern w:val="0"/>
                      <w:sz w:val="24"/>
                    </w:rPr>
                    <w:t>200,000</w:t>
                  </w:r>
                </w:p>
              </w:tc>
              <w:tc>
                <w:tcPr>
                  <w:tcW w:w="211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Unilateral open interest ×</w:t>
                  </w:r>
                  <w:r>
                    <w:rPr>
                      <w:rFonts w:ascii="Times New Roman" w:eastAsia="仿宋_GB2312" w:hAnsi="Times New Roman"/>
                      <w:dstrike/>
                      <w:color w:val="333333"/>
                      <w:sz w:val="24"/>
                    </w:rPr>
                    <w:t>20%</w:t>
                  </w:r>
                  <w:r>
                    <w:rPr>
                      <w:rFonts w:ascii="Times New Roman" w:eastAsia="仿宋_GB2312" w:hAnsi="Times New Roman"/>
                      <w:color w:val="333333"/>
                      <w:sz w:val="24"/>
                      <w:highlight w:val="lightGray"/>
                    </w:rPr>
                    <w:t>10%</w:t>
                  </w:r>
                </w:p>
              </w:tc>
              <w:tc>
                <w:tcPr>
                  <w:tcW w:w="139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Unilateral open interest ×10%</w:t>
                  </w:r>
                </w:p>
              </w:tc>
            </w:tr>
            <w:tr w:rsidR="006C7973" w:rsidTr="00B2794F">
              <w:trPr>
                <w:trHeight w:val="465"/>
                <w:jc w:val="right"/>
              </w:trPr>
              <w:tc>
                <w:tcPr>
                  <w:tcW w:w="1559"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kern w:val="0"/>
                      <w:sz w:val="24"/>
                    </w:rPr>
                  </w:pPr>
                  <w:r>
                    <w:rPr>
                      <w:rFonts w:ascii="Times New Roman" w:eastAsia="仿宋_GB2312" w:hAnsi="Times New Roman"/>
                      <w:color w:val="333333"/>
                      <w:kern w:val="0"/>
                      <w:sz w:val="24"/>
                    </w:rPr>
                    <w:lastRenderedPageBreak/>
                    <w:t>……</w:t>
                  </w:r>
                </w:p>
              </w:tc>
              <w:tc>
                <w:tcPr>
                  <w:tcW w:w="1920"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snapToGrid w:val="0"/>
                      <w:w w:val="102"/>
                      <w:kern w:val="0"/>
                      <w:sz w:val="24"/>
                    </w:rPr>
                  </w:pPr>
                  <w:r>
                    <w:rPr>
                      <w:rFonts w:ascii="Times New Roman" w:eastAsia="仿宋_GB2312" w:hAnsi="Times New Roman"/>
                      <w:color w:val="333333"/>
                      <w:kern w:val="0"/>
                      <w:sz w:val="24"/>
                    </w:rPr>
                    <w:t>……</w:t>
                  </w:r>
                </w:p>
              </w:tc>
              <w:tc>
                <w:tcPr>
                  <w:tcW w:w="2111"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snapToGrid w:val="0"/>
                      <w:w w:val="102"/>
                      <w:kern w:val="0"/>
                      <w:sz w:val="24"/>
                    </w:rPr>
                  </w:pPr>
                  <w:r>
                    <w:rPr>
                      <w:rFonts w:ascii="Times New Roman" w:eastAsia="仿宋_GB2312" w:hAnsi="Times New Roman"/>
                      <w:color w:val="333333"/>
                      <w:kern w:val="0"/>
                      <w:sz w:val="24"/>
                    </w:rPr>
                    <w:t>……</w:t>
                  </w:r>
                </w:p>
              </w:tc>
              <w:tc>
                <w:tcPr>
                  <w:tcW w:w="1392"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snapToGrid w:val="0"/>
                      <w:w w:val="102"/>
                      <w:kern w:val="0"/>
                      <w:sz w:val="24"/>
                    </w:rPr>
                  </w:pPr>
                  <w:r>
                    <w:rPr>
                      <w:rFonts w:ascii="Times New Roman" w:eastAsia="仿宋_GB2312" w:hAnsi="Times New Roman"/>
                      <w:color w:val="333333"/>
                      <w:kern w:val="0"/>
                      <w:sz w:val="24"/>
                    </w:rPr>
                    <w:t>……</w:t>
                  </w:r>
                </w:p>
              </w:tc>
            </w:tr>
            <w:tr w:rsidR="006C7973" w:rsidTr="00B2794F">
              <w:trPr>
                <w:trHeight w:val="465"/>
                <w:jc w:val="right"/>
              </w:trPr>
              <w:tc>
                <w:tcPr>
                  <w:tcW w:w="1559" w:type="dxa"/>
                  <w:vMerge w:val="restart"/>
                  <w:tcBorders>
                    <w:top w:val="single" w:sz="4" w:space="0" w:color="auto"/>
                    <w:left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kern w:val="0"/>
                      <w:sz w:val="24"/>
                    </w:rPr>
                  </w:pPr>
                  <w:r>
                    <w:rPr>
                      <w:rFonts w:ascii="Times New Roman" w:hAnsi="Times New Roman" w:cs="Calibri"/>
                      <w:snapToGrid w:val="0"/>
                      <w:w w:val="102"/>
                      <w:kern w:val="0"/>
                      <w:sz w:val="24"/>
                    </w:rPr>
                    <w:t>Polypropylene</w:t>
                  </w:r>
                </w:p>
              </w:tc>
              <w:tc>
                <w:tcPr>
                  <w:tcW w:w="192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 xml:space="preserve">Unilateral open interest </w:t>
                  </w:r>
                  <w:r>
                    <w:rPr>
                      <w:rFonts w:ascii="Times New Roman" w:hAnsi="Times New Roman" w:cs="Calibri" w:hint="eastAsia"/>
                      <w:snapToGrid w:val="0"/>
                      <w:w w:val="102"/>
                      <w:kern w:val="0"/>
                      <w:sz w:val="24"/>
                    </w:rPr>
                    <w:t>≤</w:t>
                  </w:r>
                  <w:r>
                    <w:rPr>
                      <w:rFonts w:ascii="Times New Roman" w:hAnsi="Times New Roman" w:cs="Calibri" w:hint="eastAsia"/>
                      <w:snapToGrid w:val="0"/>
                      <w:w w:val="102"/>
                      <w:kern w:val="0"/>
                      <w:sz w:val="24"/>
                    </w:rPr>
                    <w:t>200,000</w:t>
                  </w:r>
                </w:p>
              </w:tc>
              <w:tc>
                <w:tcPr>
                  <w:tcW w:w="211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20,000</w:t>
                  </w:r>
                </w:p>
              </w:tc>
              <w:tc>
                <w:tcPr>
                  <w:tcW w:w="139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20,000</w:t>
                  </w:r>
                </w:p>
              </w:tc>
            </w:tr>
            <w:tr w:rsidR="006C7973" w:rsidTr="00B2794F">
              <w:trPr>
                <w:trHeight w:val="465"/>
                <w:jc w:val="right"/>
              </w:trPr>
              <w:tc>
                <w:tcPr>
                  <w:tcW w:w="1559" w:type="dxa"/>
                  <w:vMerge/>
                  <w:tcBorders>
                    <w:left w:val="single" w:sz="4" w:space="0" w:color="auto"/>
                    <w:bottom w:val="single" w:sz="4" w:space="0" w:color="auto"/>
                    <w:right w:val="single" w:sz="4" w:space="0" w:color="auto"/>
                  </w:tcBorders>
                  <w:vAlign w:val="center"/>
                </w:tcPr>
                <w:p w:rsidR="006C7973" w:rsidRDefault="006C7973" w:rsidP="00B2794F">
                  <w:pPr>
                    <w:widowControl/>
                    <w:adjustRightInd w:val="0"/>
                    <w:snapToGrid w:val="0"/>
                    <w:spacing w:before="200" w:line="288" w:lineRule="auto"/>
                    <w:jc w:val="center"/>
                    <w:rPr>
                      <w:rFonts w:ascii="Times New Roman" w:hAnsi="Times New Roman" w:cs="Calibri"/>
                      <w:kern w:val="0"/>
                      <w:sz w:val="24"/>
                    </w:rPr>
                  </w:pPr>
                </w:p>
              </w:tc>
              <w:tc>
                <w:tcPr>
                  <w:tcW w:w="192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 xml:space="preserve">Unilateral open interest </w:t>
                  </w:r>
                  <w:r>
                    <w:rPr>
                      <w:rFonts w:ascii="Times New Roman" w:hAnsi="Times New Roman" w:cs="Calibri" w:hint="eastAsia"/>
                      <w:snapToGrid w:val="0"/>
                      <w:w w:val="102"/>
                      <w:kern w:val="0"/>
                      <w:sz w:val="24"/>
                    </w:rPr>
                    <w:t>＞</w:t>
                  </w:r>
                  <w:r>
                    <w:rPr>
                      <w:rFonts w:ascii="Times New Roman" w:hAnsi="Times New Roman" w:cs="Calibri"/>
                      <w:snapToGrid w:val="0"/>
                      <w:w w:val="102"/>
                      <w:kern w:val="0"/>
                      <w:sz w:val="24"/>
                    </w:rPr>
                    <w:t>200,000</w:t>
                  </w:r>
                </w:p>
              </w:tc>
              <w:tc>
                <w:tcPr>
                  <w:tcW w:w="211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Unilateral open interest ×10%</w:t>
                  </w:r>
                </w:p>
              </w:tc>
              <w:tc>
                <w:tcPr>
                  <w:tcW w:w="139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snapToGrid w:val="0"/>
                      <w:w w:val="102"/>
                      <w:kern w:val="0"/>
                      <w:sz w:val="24"/>
                    </w:rPr>
                  </w:pPr>
                  <w:r>
                    <w:rPr>
                      <w:rFonts w:ascii="Times New Roman" w:hAnsi="Times New Roman" w:cs="Calibri"/>
                      <w:snapToGrid w:val="0"/>
                      <w:w w:val="102"/>
                      <w:kern w:val="0"/>
                      <w:sz w:val="24"/>
                    </w:rPr>
                    <w:t>Unilateral open interest ×10%</w:t>
                  </w:r>
                </w:p>
              </w:tc>
            </w:tr>
            <w:tr w:rsidR="006C7973" w:rsidTr="00B2794F">
              <w:trPr>
                <w:trHeight w:val="465"/>
                <w:jc w:val="right"/>
              </w:trPr>
              <w:tc>
                <w:tcPr>
                  <w:tcW w:w="1559"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kern w:val="0"/>
                      <w:sz w:val="24"/>
                    </w:rPr>
                  </w:pPr>
                  <w:r>
                    <w:rPr>
                      <w:rFonts w:ascii="Times New Roman" w:eastAsia="仿宋_GB2312" w:hAnsi="Times New Roman"/>
                      <w:color w:val="333333"/>
                      <w:kern w:val="0"/>
                      <w:sz w:val="24"/>
                      <w:lang w:bidi="ar"/>
                    </w:rPr>
                    <w:t>……</w:t>
                  </w:r>
                </w:p>
              </w:tc>
              <w:tc>
                <w:tcPr>
                  <w:tcW w:w="1920"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snapToGrid w:val="0"/>
                      <w:w w:val="102"/>
                      <w:kern w:val="0"/>
                      <w:sz w:val="24"/>
                    </w:rPr>
                  </w:pPr>
                  <w:r>
                    <w:rPr>
                      <w:rFonts w:ascii="Times New Roman" w:eastAsia="仿宋_GB2312" w:hAnsi="Times New Roman"/>
                      <w:color w:val="333333"/>
                      <w:kern w:val="0"/>
                      <w:sz w:val="24"/>
                      <w:lang w:bidi="ar"/>
                    </w:rPr>
                    <w:t>……</w:t>
                  </w:r>
                </w:p>
              </w:tc>
              <w:tc>
                <w:tcPr>
                  <w:tcW w:w="2111"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snapToGrid w:val="0"/>
                      <w:w w:val="102"/>
                      <w:kern w:val="0"/>
                      <w:sz w:val="24"/>
                    </w:rPr>
                  </w:pPr>
                  <w:r>
                    <w:rPr>
                      <w:rFonts w:ascii="Times New Roman" w:eastAsia="仿宋_GB2312" w:hAnsi="Times New Roman"/>
                      <w:color w:val="333333"/>
                      <w:kern w:val="0"/>
                      <w:sz w:val="24"/>
                      <w:lang w:bidi="ar"/>
                    </w:rPr>
                    <w:t>……</w:t>
                  </w:r>
                </w:p>
              </w:tc>
              <w:tc>
                <w:tcPr>
                  <w:tcW w:w="1392"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snapToGrid w:val="0"/>
                      <w:w w:val="102"/>
                      <w:kern w:val="0"/>
                      <w:sz w:val="24"/>
                    </w:rPr>
                  </w:pPr>
                  <w:r>
                    <w:rPr>
                      <w:rFonts w:ascii="Times New Roman" w:eastAsia="仿宋_GB2312" w:hAnsi="Times New Roman"/>
                      <w:color w:val="333333"/>
                      <w:kern w:val="0"/>
                      <w:sz w:val="24"/>
                      <w:lang w:bidi="ar"/>
                    </w:rPr>
                    <w:t>……</w:t>
                  </w:r>
                </w:p>
              </w:tc>
            </w:tr>
          </w:tbl>
          <w:p w:rsidR="006C7973" w:rsidRDefault="006C7973" w:rsidP="00B2794F">
            <w:pPr>
              <w:widowControl/>
              <w:snapToGrid w:val="0"/>
              <w:spacing w:before="200" w:line="288" w:lineRule="auto"/>
              <w:rPr>
                <w:rFonts w:ascii="Times New Roman" w:eastAsia="楷体_GB2312" w:hAnsi="Times New Roman"/>
                <w:color w:val="000000"/>
                <w:kern w:val="0"/>
                <w:sz w:val="24"/>
              </w:rPr>
            </w:pPr>
          </w:p>
        </w:tc>
      </w:tr>
      <w:tr w:rsidR="006C7973" w:rsidTr="00B2794F">
        <w:trPr>
          <w:trHeight w:val="1298"/>
        </w:trPr>
        <w:tc>
          <w:tcPr>
            <w:tcW w:w="2428" w:type="pct"/>
            <w:vAlign w:val="center"/>
          </w:tcPr>
          <w:p w:rsidR="006C7973" w:rsidRDefault="006C7973" w:rsidP="006C7973">
            <w:pPr>
              <w:numPr>
                <w:ilvl w:val="0"/>
                <w:numId w:val="4"/>
              </w:numPr>
              <w:autoSpaceDE w:val="0"/>
              <w:autoSpaceDN w:val="0"/>
              <w:adjustRightInd w:val="0"/>
              <w:snapToGrid w:val="0"/>
              <w:spacing w:before="200" w:line="288" w:lineRule="auto"/>
              <w:ind w:left="567"/>
              <w:rPr>
                <w:sz w:val="24"/>
              </w:rPr>
            </w:pPr>
            <w:r>
              <w:rPr>
                <w:rFonts w:ascii="Times New Roman" w:hAnsi="Times New Roman" w:cs="Calibri"/>
                <w:kern w:val="0"/>
                <w:sz w:val="24"/>
                <w:lang w:bidi="ar"/>
              </w:rPr>
              <w:lastRenderedPageBreak/>
              <w:t>During the period from the fifteenth trading day of the month immediately preceding the delivery month to the delivery month, the position limit applicable to the Non-Futures Company Member, the OSNBP and the client for any product other than the iron ore, egg and live hog is shown in the table below, and the position limit applicable to the individual client during the delivery month shall be zero (0):</w:t>
            </w:r>
          </w:p>
          <w:p w:rsidR="006C7973" w:rsidRDefault="006C7973" w:rsidP="00B2794F">
            <w:pPr>
              <w:autoSpaceDE w:val="0"/>
              <w:autoSpaceDN w:val="0"/>
              <w:adjustRightInd w:val="0"/>
              <w:snapToGrid w:val="0"/>
              <w:spacing w:before="200" w:line="288" w:lineRule="auto"/>
              <w:ind w:left="567"/>
              <w:rPr>
                <w:sz w:val="24"/>
              </w:rPr>
            </w:pPr>
            <w:r>
              <w:rPr>
                <w:rFonts w:ascii="Times New Roman" w:hAnsi="Times New Roman" w:cs="Calibri"/>
                <w:kern w:val="0"/>
                <w:sz w:val="24"/>
                <w:lang w:bidi="ar"/>
              </w:rPr>
              <w:t xml:space="preserve"> (Unit: Lot)</w:t>
            </w:r>
          </w:p>
          <w:tbl>
            <w:tblPr>
              <w:tblW w:w="6932" w:type="dxa"/>
              <w:jc w:val="right"/>
              <w:tblCellMar>
                <w:left w:w="0" w:type="dxa"/>
                <w:right w:w="0" w:type="dxa"/>
              </w:tblCellMar>
              <w:tblLook w:val="0000" w:firstRow="0" w:lastRow="0" w:firstColumn="0" w:lastColumn="0" w:noHBand="0" w:noVBand="0"/>
            </w:tblPr>
            <w:tblGrid>
              <w:gridCol w:w="2062"/>
              <w:gridCol w:w="2451"/>
              <w:gridCol w:w="1757"/>
              <w:gridCol w:w="662"/>
            </w:tblGrid>
            <w:tr w:rsidR="006C7973" w:rsidTr="00B2794F">
              <w:trPr>
                <w:trHeight w:val="465"/>
                <w:jc w:val="right"/>
              </w:trPr>
              <w:tc>
                <w:tcPr>
                  <w:tcW w:w="2062" w:type="dxa"/>
                  <w:tcBorders>
                    <w:top w:val="single" w:sz="4" w:space="0" w:color="auto"/>
                    <w:left w:val="single" w:sz="4" w:space="0" w:color="231F20"/>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rPr>
                  </w:pPr>
                  <w:r>
                    <w:rPr>
                      <w:rFonts w:ascii="Times New Roman" w:hAnsi="Times New Roman" w:cs="Calibri"/>
                      <w:b/>
                      <w:kern w:val="0"/>
                      <w:sz w:val="24"/>
                      <w:lang w:bidi="ar"/>
                    </w:rPr>
                    <w:t>Product</w:t>
                  </w:r>
                </w:p>
              </w:tc>
              <w:tc>
                <w:tcPr>
                  <w:tcW w:w="245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rPr>
                  </w:pPr>
                  <w:r>
                    <w:rPr>
                      <w:rFonts w:ascii="Times New Roman" w:hAnsi="Times New Roman" w:cs="Calibri"/>
                      <w:b/>
                      <w:kern w:val="0"/>
                      <w:sz w:val="24"/>
                      <w:lang w:bidi="ar"/>
                    </w:rPr>
                    <w:t>Period</w:t>
                  </w:r>
                </w:p>
              </w:tc>
              <w:tc>
                <w:tcPr>
                  <w:tcW w:w="1757"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rPr>
                  </w:pPr>
                  <w:r>
                    <w:rPr>
                      <w:rFonts w:ascii="Times New Roman" w:hAnsi="Times New Roman" w:cs="Calibri"/>
                      <w:b/>
                      <w:kern w:val="0"/>
                      <w:sz w:val="24"/>
                      <w:lang w:bidi="ar"/>
                    </w:rPr>
                    <w:t>Non-Futures Company Member/OSNBP</w:t>
                  </w:r>
                </w:p>
              </w:tc>
              <w:tc>
                <w:tcPr>
                  <w:tcW w:w="66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rPr>
                  </w:pPr>
                  <w:r>
                    <w:rPr>
                      <w:rFonts w:ascii="Times New Roman" w:hAnsi="Times New Roman" w:cs="Calibri"/>
                      <w:b/>
                      <w:kern w:val="0"/>
                      <w:sz w:val="24"/>
                      <w:lang w:bidi="ar"/>
                    </w:rPr>
                    <w:t>Client</w:t>
                  </w:r>
                </w:p>
              </w:tc>
            </w:tr>
            <w:tr w:rsidR="006C7973" w:rsidTr="00B2794F">
              <w:trPr>
                <w:trHeight w:val="465"/>
                <w:jc w:val="right"/>
              </w:trPr>
              <w:tc>
                <w:tcPr>
                  <w:tcW w:w="2062"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2451"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1757"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662"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r>
            <w:tr w:rsidR="006C7973" w:rsidTr="00B2794F">
              <w:trPr>
                <w:trHeight w:val="465"/>
                <w:jc w:val="right"/>
              </w:trPr>
              <w:tc>
                <w:tcPr>
                  <w:tcW w:w="2062" w:type="dxa"/>
                  <w:vMerge w:val="restart"/>
                  <w:tcBorders>
                    <w:top w:val="single" w:sz="4" w:space="0" w:color="auto"/>
                    <w:left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lastRenderedPageBreak/>
                    <w:t>No. 2 soybeans</w:t>
                  </w:r>
                </w:p>
              </w:tc>
              <w:tc>
                <w:tcPr>
                  <w:tcW w:w="245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As from the fifteenth trading day of the month immediately preceding the delivery month</w:t>
                  </w:r>
                </w:p>
              </w:tc>
              <w:tc>
                <w:tcPr>
                  <w:tcW w:w="1757"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4,500</w:t>
                  </w:r>
                </w:p>
              </w:tc>
              <w:tc>
                <w:tcPr>
                  <w:tcW w:w="66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4,500</w:t>
                  </w:r>
                </w:p>
              </w:tc>
            </w:tr>
            <w:tr w:rsidR="006C7973" w:rsidTr="00B2794F">
              <w:trPr>
                <w:trHeight w:val="465"/>
                <w:jc w:val="right"/>
              </w:trPr>
              <w:tc>
                <w:tcPr>
                  <w:tcW w:w="2062" w:type="dxa"/>
                  <w:vMerge/>
                  <w:tcBorders>
                    <w:left w:val="single" w:sz="4" w:space="0" w:color="auto"/>
                    <w:bottom w:val="single" w:sz="4" w:space="0" w:color="auto"/>
                    <w:right w:val="single" w:sz="4" w:space="0" w:color="auto"/>
                  </w:tcBorders>
                  <w:vAlign w:val="center"/>
                </w:tcPr>
                <w:p w:rsidR="006C7973" w:rsidRDefault="006C7973" w:rsidP="00B2794F">
                  <w:pPr>
                    <w:widowControl/>
                    <w:adjustRightInd w:val="0"/>
                    <w:snapToGrid w:val="0"/>
                    <w:spacing w:before="200" w:line="288" w:lineRule="auto"/>
                    <w:jc w:val="center"/>
                    <w:rPr>
                      <w:rFonts w:ascii="Times New Roman" w:hAnsi="Times New Roman" w:cs="Calibri"/>
                      <w:b/>
                      <w:kern w:val="0"/>
                      <w:sz w:val="24"/>
                      <w:lang w:bidi="ar"/>
                    </w:rPr>
                  </w:pPr>
                </w:p>
              </w:tc>
              <w:tc>
                <w:tcPr>
                  <w:tcW w:w="245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Delivery month</w:t>
                  </w:r>
                </w:p>
              </w:tc>
              <w:tc>
                <w:tcPr>
                  <w:tcW w:w="1757"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1,500</w:t>
                  </w:r>
                </w:p>
              </w:tc>
              <w:tc>
                <w:tcPr>
                  <w:tcW w:w="66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1,500</w:t>
                  </w:r>
                </w:p>
              </w:tc>
            </w:tr>
            <w:tr w:rsidR="006C7973" w:rsidTr="00B2794F">
              <w:trPr>
                <w:trHeight w:val="465"/>
                <w:jc w:val="right"/>
              </w:trPr>
              <w:tc>
                <w:tcPr>
                  <w:tcW w:w="2062"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2451"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1757"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662"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r>
            <w:tr w:rsidR="006C7973" w:rsidTr="00B2794F">
              <w:trPr>
                <w:trHeight w:val="465"/>
                <w:jc w:val="right"/>
              </w:trPr>
              <w:tc>
                <w:tcPr>
                  <w:tcW w:w="2062" w:type="dxa"/>
                  <w:vMerge w:val="restart"/>
                  <w:tcBorders>
                    <w:top w:val="single" w:sz="4" w:space="0" w:color="auto"/>
                    <w:left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Linear low density polyethylene</w:t>
                  </w:r>
                </w:p>
              </w:tc>
              <w:tc>
                <w:tcPr>
                  <w:tcW w:w="245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As from the fifteenth trading day of the month immediately preceding the delivery month</w:t>
                  </w:r>
                </w:p>
              </w:tc>
              <w:tc>
                <w:tcPr>
                  <w:tcW w:w="1757"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6,000</w:t>
                  </w:r>
                </w:p>
              </w:tc>
              <w:tc>
                <w:tcPr>
                  <w:tcW w:w="66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3,000</w:t>
                  </w:r>
                </w:p>
              </w:tc>
            </w:tr>
            <w:tr w:rsidR="006C7973" w:rsidTr="00B2794F">
              <w:trPr>
                <w:trHeight w:val="465"/>
                <w:jc w:val="right"/>
              </w:trPr>
              <w:tc>
                <w:tcPr>
                  <w:tcW w:w="2062" w:type="dxa"/>
                  <w:vMerge/>
                  <w:tcBorders>
                    <w:left w:val="single" w:sz="4" w:space="0" w:color="auto"/>
                    <w:bottom w:val="single" w:sz="4" w:space="0" w:color="auto"/>
                    <w:right w:val="single" w:sz="4" w:space="0" w:color="auto"/>
                  </w:tcBorders>
                  <w:vAlign w:val="center"/>
                </w:tcPr>
                <w:p w:rsidR="006C7973" w:rsidRDefault="006C7973" w:rsidP="00B2794F">
                  <w:pPr>
                    <w:widowControl/>
                    <w:adjustRightInd w:val="0"/>
                    <w:snapToGrid w:val="0"/>
                    <w:spacing w:before="200" w:line="288" w:lineRule="auto"/>
                    <w:jc w:val="center"/>
                    <w:rPr>
                      <w:rFonts w:ascii="Times New Roman" w:hAnsi="Times New Roman" w:cs="Calibri"/>
                      <w:b/>
                      <w:kern w:val="0"/>
                      <w:sz w:val="24"/>
                      <w:lang w:bidi="ar"/>
                    </w:rPr>
                  </w:pPr>
                </w:p>
              </w:tc>
              <w:tc>
                <w:tcPr>
                  <w:tcW w:w="245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Delivery month</w:t>
                  </w:r>
                </w:p>
              </w:tc>
              <w:tc>
                <w:tcPr>
                  <w:tcW w:w="1757"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2,000</w:t>
                  </w:r>
                </w:p>
              </w:tc>
              <w:tc>
                <w:tcPr>
                  <w:tcW w:w="66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1,000</w:t>
                  </w:r>
                </w:p>
              </w:tc>
            </w:tr>
            <w:tr w:rsidR="006C7973" w:rsidTr="00B2794F">
              <w:trPr>
                <w:trHeight w:val="465"/>
                <w:jc w:val="right"/>
              </w:trPr>
              <w:tc>
                <w:tcPr>
                  <w:tcW w:w="2062" w:type="dxa"/>
                  <w:vMerge w:val="restart"/>
                  <w:tcBorders>
                    <w:top w:val="single" w:sz="4" w:space="0" w:color="auto"/>
                    <w:left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Polyvinyl chloride</w:t>
                  </w:r>
                </w:p>
              </w:tc>
              <w:tc>
                <w:tcPr>
                  <w:tcW w:w="245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As from the fifteenth trading day of the month immediately preceding the delivery month</w:t>
                  </w:r>
                </w:p>
              </w:tc>
              <w:tc>
                <w:tcPr>
                  <w:tcW w:w="1757"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10,000</w:t>
                  </w:r>
                </w:p>
              </w:tc>
              <w:tc>
                <w:tcPr>
                  <w:tcW w:w="66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5,000</w:t>
                  </w:r>
                </w:p>
              </w:tc>
            </w:tr>
            <w:tr w:rsidR="006C7973" w:rsidTr="00B2794F">
              <w:trPr>
                <w:trHeight w:val="465"/>
                <w:jc w:val="right"/>
              </w:trPr>
              <w:tc>
                <w:tcPr>
                  <w:tcW w:w="2062" w:type="dxa"/>
                  <w:vMerge/>
                  <w:tcBorders>
                    <w:left w:val="single" w:sz="4" w:space="0" w:color="auto"/>
                    <w:bottom w:val="single" w:sz="4" w:space="0" w:color="auto"/>
                    <w:right w:val="single" w:sz="4" w:space="0" w:color="auto"/>
                  </w:tcBorders>
                  <w:vAlign w:val="center"/>
                </w:tcPr>
                <w:p w:rsidR="006C7973" w:rsidRDefault="006C7973" w:rsidP="00B2794F">
                  <w:pPr>
                    <w:widowControl/>
                    <w:adjustRightInd w:val="0"/>
                    <w:snapToGrid w:val="0"/>
                    <w:spacing w:before="200" w:line="288" w:lineRule="auto"/>
                    <w:jc w:val="center"/>
                    <w:rPr>
                      <w:rFonts w:ascii="Times New Roman" w:hAnsi="Times New Roman" w:cs="Calibri"/>
                      <w:b/>
                      <w:kern w:val="0"/>
                      <w:sz w:val="24"/>
                      <w:lang w:bidi="ar"/>
                    </w:rPr>
                  </w:pPr>
                </w:p>
              </w:tc>
              <w:tc>
                <w:tcPr>
                  <w:tcW w:w="245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Delivery month</w:t>
                  </w:r>
                </w:p>
              </w:tc>
              <w:tc>
                <w:tcPr>
                  <w:tcW w:w="1757"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5,000</w:t>
                  </w:r>
                </w:p>
              </w:tc>
              <w:tc>
                <w:tcPr>
                  <w:tcW w:w="66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2,500</w:t>
                  </w:r>
                </w:p>
              </w:tc>
            </w:tr>
            <w:tr w:rsidR="006C7973" w:rsidTr="00B2794F">
              <w:trPr>
                <w:trHeight w:val="465"/>
                <w:jc w:val="right"/>
              </w:trPr>
              <w:tc>
                <w:tcPr>
                  <w:tcW w:w="2062"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2451"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1757"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662"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r>
            <w:tr w:rsidR="006C7973" w:rsidTr="00B2794F">
              <w:trPr>
                <w:trHeight w:val="465"/>
                <w:jc w:val="right"/>
              </w:trPr>
              <w:tc>
                <w:tcPr>
                  <w:tcW w:w="2062" w:type="dxa"/>
                  <w:vMerge w:val="restart"/>
                  <w:tcBorders>
                    <w:top w:val="single" w:sz="4" w:space="0" w:color="auto"/>
                    <w:left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Polypropylene</w:t>
                  </w:r>
                </w:p>
              </w:tc>
              <w:tc>
                <w:tcPr>
                  <w:tcW w:w="245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 xml:space="preserve">As from the fifteenth trading day of the month </w:t>
                  </w:r>
                  <w:r>
                    <w:rPr>
                      <w:rFonts w:ascii="Times New Roman" w:hAnsi="Times New Roman" w:cs="Calibri"/>
                      <w:kern w:val="0"/>
                      <w:sz w:val="24"/>
                      <w:lang w:bidi="ar"/>
                    </w:rPr>
                    <w:lastRenderedPageBreak/>
                    <w:t>immediately preceding the delivery month</w:t>
                  </w:r>
                </w:p>
              </w:tc>
              <w:tc>
                <w:tcPr>
                  <w:tcW w:w="1757"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lastRenderedPageBreak/>
                    <w:t>5,000</w:t>
                  </w:r>
                </w:p>
              </w:tc>
              <w:tc>
                <w:tcPr>
                  <w:tcW w:w="66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5,000</w:t>
                  </w:r>
                </w:p>
              </w:tc>
            </w:tr>
            <w:tr w:rsidR="006C7973" w:rsidTr="00B2794F">
              <w:trPr>
                <w:trHeight w:val="465"/>
                <w:jc w:val="right"/>
              </w:trPr>
              <w:tc>
                <w:tcPr>
                  <w:tcW w:w="2062" w:type="dxa"/>
                  <w:vMerge/>
                  <w:tcBorders>
                    <w:left w:val="single" w:sz="4" w:space="0" w:color="auto"/>
                    <w:bottom w:val="single" w:sz="4" w:space="0" w:color="auto"/>
                    <w:right w:val="single" w:sz="4" w:space="0" w:color="auto"/>
                  </w:tcBorders>
                  <w:vAlign w:val="center"/>
                </w:tcPr>
                <w:p w:rsidR="006C7973" w:rsidRDefault="006C7973" w:rsidP="00B2794F">
                  <w:pPr>
                    <w:widowControl/>
                    <w:adjustRightInd w:val="0"/>
                    <w:snapToGrid w:val="0"/>
                    <w:spacing w:before="200" w:line="288" w:lineRule="auto"/>
                    <w:jc w:val="center"/>
                    <w:rPr>
                      <w:rFonts w:ascii="Times New Roman" w:hAnsi="Times New Roman" w:cs="Calibri"/>
                      <w:b/>
                      <w:kern w:val="0"/>
                      <w:sz w:val="24"/>
                      <w:lang w:bidi="ar"/>
                    </w:rPr>
                  </w:pPr>
                </w:p>
              </w:tc>
              <w:tc>
                <w:tcPr>
                  <w:tcW w:w="2451"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Delivery month</w:t>
                  </w:r>
                </w:p>
              </w:tc>
              <w:tc>
                <w:tcPr>
                  <w:tcW w:w="1757"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2,500</w:t>
                  </w:r>
                </w:p>
              </w:tc>
              <w:tc>
                <w:tcPr>
                  <w:tcW w:w="662"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2,500</w:t>
                  </w:r>
                </w:p>
              </w:tc>
            </w:tr>
            <w:tr w:rsidR="006C7973" w:rsidTr="00B2794F">
              <w:trPr>
                <w:trHeight w:val="465"/>
                <w:jc w:val="right"/>
              </w:trPr>
              <w:tc>
                <w:tcPr>
                  <w:tcW w:w="2062"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2451"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1757"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662"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r>
          </w:tbl>
          <w:p w:rsidR="006C7973" w:rsidRDefault="006C7973" w:rsidP="00B2794F">
            <w:pPr>
              <w:widowControl/>
              <w:snapToGrid w:val="0"/>
              <w:spacing w:before="200" w:line="288" w:lineRule="auto"/>
              <w:rPr>
                <w:rFonts w:ascii="Times New Roman" w:eastAsia="楷体_GB2312" w:hAnsi="Times New Roman"/>
                <w:color w:val="000000"/>
                <w:kern w:val="0"/>
                <w:sz w:val="24"/>
              </w:rPr>
            </w:pPr>
          </w:p>
        </w:tc>
        <w:tc>
          <w:tcPr>
            <w:tcW w:w="2572" w:type="pct"/>
            <w:vAlign w:val="center"/>
          </w:tcPr>
          <w:p w:rsidR="006C7973" w:rsidRDefault="006C7973" w:rsidP="00B2794F">
            <w:pPr>
              <w:autoSpaceDE w:val="0"/>
              <w:autoSpaceDN w:val="0"/>
              <w:adjustRightInd w:val="0"/>
              <w:snapToGrid w:val="0"/>
              <w:spacing w:before="200" w:line="288" w:lineRule="auto"/>
              <w:ind w:left="567"/>
              <w:rPr>
                <w:sz w:val="24"/>
              </w:rPr>
            </w:pPr>
            <w:r>
              <w:rPr>
                <w:rFonts w:ascii="Times New Roman" w:hAnsi="Times New Roman" w:cs="Calibri"/>
                <w:kern w:val="0"/>
                <w:sz w:val="24"/>
                <w:lang w:bidi="ar"/>
              </w:rPr>
              <w:lastRenderedPageBreak/>
              <w:t>(b) During the period from the fifteenth trading day of the month immediately preceding the delivery month to the delivery month, the position limit applicable to the Non-Futures Company Member, the OSNBP and the client for any product other than the iron ore, egg and live hog is shown in the table below, and the position limit applicable to the individual client during the delivery month shall be zero (0):</w:t>
            </w:r>
          </w:p>
          <w:p w:rsidR="006C7973" w:rsidRDefault="006C7973" w:rsidP="00B2794F">
            <w:pPr>
              <w:autoSpaceDE w:val="0"/>
              <w:autoSpaceDN w:val="0"/>
              <w:adjustRightInd w:val="0"/>
              <w:snapToGrid w:val="0"/>
              <w:spacing w:before="200" w:line="288" w:lineRule="auto"/>
              <w:ind w:left="567"/>
              <w:rPr>
                <w:sz w:val="24"/>
              </w:rPr>
            </w:pPr>
            <w:r>
              <w:rPr>
                <w:rFonts w:ascii="Times New Roman" w:hAnsi="Times New Roman" w:cs="Calibri"/>
                <w:kern w:val="0"/>
                <w:sz w:val="24"/>
                <w:lang w:bidi="ar"/>
              </w:rPr>
              <w:t xml:space="preserve"> (Unit: Lot)</w:t>
            </w:r>
          </w:p>
          <w:tbl>
            <w:tblPr>
              <w:tblW w:w="7035" w:type="dxa"/>
              <w:jc w:val="right"/>
              <w:tblCellMar>
                <w:left w:w="0" w:type="dxa"/>
                <w:right w:w="0" w:type="dxa"/>
              </w:tblCellMar>
              <w:tblLook w:val="0000" w:firstRow="0" w:lastRow="0" w:firstColumn="0" w:lastColumn="0" w:noHBand="0" w:noVBand="0"/>
            </w:tblPr>
            <w:tblGrid>
              <w:gridCol w:w="2430"/>
              <w:gridCol w:w="1758"/>
              <w:gridCol w:w="1757"/>
              <w:gridCol w:w="1090"/>
            </w:tblGrid>
            <w:tr w:rsidR="006C7973" w:rsidTr="00B2794F">
              <w:trPr>
                <w:trHeight w:val="465"/>
                <w:jc w:val="right"/>
              </w:trPr>
              <w:tc>
                <w:tcPr>
                  <w:tcW w:w="2430" w:type="dxa"/>
                  <w:tcBorders>
                    <w:top w:val="single" w:sz="4" w:space="0" w:color="auto"/>
                    <w:left w:val="single" w:sz="4" w:space="0" w:color="231F20"/>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rPr>
                  </w:pPr>
                  <w:r>
                    <w:rPr>
                      <w:rFonts w:ascii="Times New Roman" w:hAnsi="Times New Roman" w:cs="Calibri"/>
                      <w:b/>
                      <w:kern w:val="0"/>
                      <w:sz w:val="24"/>
                      <w:lang w:bidi="ar"/>
                    </w:rPr>
                    <w:t>Product</w:t>
                  </w:r>
                </w:p>
              </w:tc>
              <w:tc>
                <w:tcPr>
                  <w:tcW w:w="1758"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rPr>
                  </w:pPr>
                  <w:r>
                    <w:rPr>
                      <w:rFonts w:ascii="Times New Roman" w:hAnsi="Times New Roman" w:cs="Calibri"/>
                      <w:b/>
                      <w:kern w:val="0"/>
                      <w:sz w:val="24"/>
                      <w:lang w:bidi="ar"/>
                    </w:rPr>
                    <w:t>Period</w:t>
                  </w:r>
                </w:p>
              </w:tc>
              <w:tc>
                <w:tcPr>
                  <w:tcW w:w="1757"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rPr>
                  </w:pPr>
                  <w:r>
                    <w:rPr>
                      <w:rFonts w:ascii="Times New Roman" w:hAnsi="Times New Roman" w:cs="Calibri"/>
                      <w:b/>
                      <w:kern w:val="0"/>
                      <w:sz w:val="24"/>
                      <w:lang w:bidi="ar"/>
                    </w:rPr>
                    <w:t>Non-Futures Company Member/OSNBP</w:t>
                  </w:r>
                </w:p>
              </w:tc>
              <w:tc>
                <w:tcPr>
                  <w:tcW w:w="109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rPr>
                  </w:pPr>
                  <w:r>
                    <w:rPr>
                      <w:rFonts w:ascii="Times New Roman" w:hAnsi="Times New Roman" w:cs="Calibri"/>
                      <w:b/>
                      <w:kern w:val="0"/>
                      <w:sz w:val="24"/>
                      <w:lang w:bidi="ar"/>
                    </w:rPr>
                    <w:t>Client</w:t>
                  </w:r>
                </w:p>
              </w:tc>
            </w:tr>
            <w:tr w:rsidR="006C7973" w:rsidTr="00B2794F">
              <w:trPr>
                <w:trHeight w:val="465"/>
                <w:jc w:val="right"/>
              </w:trPr>
              <w:tc>
                <w:tcPr>
                  <w:tcW w:w="2430"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1758"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1757"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1090"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r>
            <w:tr w:rsidR="006C7973" w:rsidTr="00B2794F">
              <w:trPr>
                <w:trHeight w:val="465"/>
                <w:jc w:val="right"/>
              </w:trPr>
              <w:tc>
                <w:tcPr>
                  <w:tcW w:w="2430" w:type="dxa"/>
                  <w:vMerge w:val="restart"/>
                  <w:tcBorders>
                    <w:top w:val="single" w:sz="4" w:space="0" w:color="auto"/>
                    <w:left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lastRenderedPageBreak/>
                    <w:t>No. 2 soybeans</w:t>
                  </w:r>
                </w:p>
              </w:tc>
              <w:tc>
                <w:tcPr>
                  <w:tcW w:w="1758"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As from the fifteenth trading day of the month immediately preceding the delivery month</w:t>
                  </w:r>
                </w:p>
              </w:tc>
              <w:tc>
                <w:tcPr>
                  <w:tcW w:w="1757"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eastAsia="仿宋_GB2312" w:hAnsi="Times New Roman"/>
                      <w:dstrike/>
                      <w:color w:val="333333"/>
                      <w:sz w:val="24"/>
                    </w:rPr>
                    <w:t>4,500</w:t>
                  </w:r>
                  <w:r>
                    <w:rPr>
                      <w:rFonts w:ascii="Times New Roman" w:eastAsia="仿宋_GB2312" w:hAnsi="Times New Roman"/>
                      <w:color w:val="333333"/>
                      <w:sz w:val="24"/>
                      <w:shd w:val="clear" w:color="FFFFFF" w:fill="D9D9D9"/>
                    </w:rPr>
                    <w:t>3,000</w:t>
                  </w:r>
                </w:p>
              </w:tc>
              <w:tc>
                <w:tcPr>
                  <w:tcW w:w="109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eastAsia="仿宋_GB2312" w:hAnsi="Times New Roman"/>
                      <w:dstrike/>
                      <w:color w:val="333333"/>
                      <w:sz w:val="24"/>
                    </w:rPr>
                    <w:t>4,500</w:t>
                  </w:r>
                  <w:r>
                    <w:rPr>
                      <w:rFonts w:ascii="Times New Roman" w:eastAsia="仿宋_GB2312" w:hAnsi="Times New Roman"/>
                      <w:color w:val="333333"/>
                      <w:sz w:val="24"/>
                      <w:shd w:val="clear" w:color="FFFFFF" w:fill="D9D9D9"/>
                    </w:rPr>
                    <w:t>3,000</w:t>
                  </w:r>
                </w:p>
              </w:tc>
            </w:tr>
            <w:tr w:rsidR="006C7973" w:rsidTr="00B2794F">
              <w:trPr>
                <w:trHeight w:val="465"/>
                <w:jc w:val="right"/>
              </w:trPr>
              <w:tc>
                <w:tcPr>
                  <w:tcW w:w="2430" w:type="dxa"/>
                  <w:vMerge/>
                  <w:tcBorders>
                    <w:left w:val="single" w:sz="4" w:space="0" w:color="auto"/>
                    <w:bottom w:val="single" w:sz="4" w:space="0" w:color="auto"/>
                    <w:right w:val="single" w:sz="4" w:space="0" w:color="auto"/>
                  </w:tcBorders>
                  <w:vAlign w:val="center"/>
                </w:tcPr>
                <w:p w:rsidR="006C7973" w:rsidRDefault="006C7973" w:rsidP="00B2794F">
                  <w:pPr>
                    <w:widowControl/>
                    <w:adjustRightInd w:val="0"/>
                    <w:snapToGrid w:val="0"/>
                    <w:spacing w:before="200" w:line="288" w:lineRule="auto"/>
                    <w:jc w:val="center"/>
                    <w:rPr>
                      <w:rFonts w:ascii="Times New Roman" w:hAnsi="Times New Roman" w:cs="Calibri"/>
                      <w:b/>
                      <w:kern w:val="0"/>
                      <w:sz w:val="24"/>
                      <w:lang w:bidi="ar"/>
                    </w:rPr>
                  </w:pPr>
                </w:p>
              </w:tc>
              <w:tc>
                <w:tcPr>
                  <w:tcW w:w="1758"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Delivery month</w:t>
                  </w:r>
                </w:p>
              </w:tc>
              <w:tc>
                <w:tcPr>
                  <w:tcW w:w="1757"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eastAsia="仿宋_GB2312" w:hAnsi="Times New Roman"/>
                      <w:dstrike/>
                      <w:color w:val="333333"/>
                      <w:sz w:val="24"/>
                    </w:rPr>
                    <w:t>1,500</w:t>
                  </w:r>
                  <w:r>
                    <w:rPr>
                      <w:rFonts w:ascii="Times New Roman" w:eastAsia="仿宋_GB2312" w:hAnsi="Times New Roman"/>
                      <w:color w:val="333333"/>
                      <w:sz w:val="24"/>
                      <w:shd w:val="clear" w:color="FFFFFF" w:fill="D9D9D9"/>
                    </w:rPr>
                    <w:t>1,000</w:t>
                  </w:r>
                </w:p>
              </w:tc>
              <w:tc>
                <w:tcPr>
                  <w:tcW w:w="109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eastAsia="仿宋_GB2312" w:hAnsi="Times New Roman"/>
                      <w:dstrike/>
                      <w:color w:val="333333"/>
                      <w:sz w:val="24"/>
                    </w:rPr>
                    <w:t>1,500</w:t>
                  </w:r>
                  <w:r>
                    <w:rPr>
                      <w:rFonts w:ascii="Times New Roman" w:eastAsia="仿宋_GB2312" w:hAnsi="Times New Roman"/>
                      <w:color w:val="333333"/>
                      <w:sz w:val="24"/>
                      <w:shd w:val="clear" w:color="FFFFFF" w:fill="D9D9D9"/>
                    </w:rPr>
                    <w:t>1,000</w:t>
                  </w:r>
                </w:p>
              </w:tc>
            </w:tr>
            <w:tr w:rsidR="006C7973" w:rsidTr="00B2794F">
              <w:trPr>
                <w:trHeight w:val="465"/>
                <w:jc w:val="right"/>
              </w:trPr>
              <w:tc>
                <w:tcPr>
                  <w:tcW w:w="2430"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1758"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1757"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1090"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r>
            <w:tr w:rsidR="006C7973" w:rsidTr="00B2794F">
              <w:trPr>
                <w:trHeight w:val="465"/>
                <w:jc w:val="right"/>
              </w:trPr>
              <w:tc>
                <w:tcPr>
                  <w:tcW w:w="2430" w:type="dxa"/>
                  <w:vMerge w:val="restart"/>
                  <w:tcBorders>
                    <w:top w:val="single" w:sz="4" w:space="0" w:color="auto"/>
                    <w:left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Linear low density polyethylene</w:t>
                  </w:r>
                </w:p>
              </w:tc>
              <w:tc>
                <w:tcPr>
                  <w:tcW w:w="1758"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As from the fifteenth trading day of the month immediately preceding the delivery month</w:t>
                  </w:r>
                </w:p>
              </w:tc>
              <w:tc>
                <w:tcPr>
                  <w:tcW w:w="1757" w:type="dxa"/>
                  <w:tcBorders>
                    <w:top w:val="single" w:sz="4" w:space="0" w:color="auto"/>
                    <w:left w:val="single" w:sz="4" w:space="0" w:color="auto"/>
                    <w:bottom w:val="single" w:sz="4" w:space="0" w:color="auto"/>
                    <w:right w:val="single" w:sz="4" w:space="0" w:color="auto"/>
                  </w:tcBorders>
                </w:tcPr>
                <w:p w:rsidR="006C7973" w:rsidRDefault="006C7973" w:rsidP="00B2794F">
                  <w:pPr>
                    <w:widowControl/>
                    <w:snapToGrid w:val="0"/>
                    <w:spacing w:before="200" w:line="288" w:lineRule="auto"/>
                    <w:jc w:val="center"/>
                    <w:rPr>
                      <w:rFonts w:ascii="Times New Roman" w:eastAsia="仿宋_GB2312" w:hAnsi="Times New Roman"/>
                      <w:dstrike/>
                      <w:color w:val="333333"/>
                      <w:kern w:val="0"/>
                      <w:sz w:val="24"/>
                    </w:rPr>
                  </w:pPr>
                  <w:r>
                    <w:rPr>
                      <w:rFonts w:ascii="Times New Roman" w:eastAsia="仿宋_GB2312" w:hAnsi="Times New Roman"/>
                      <w:dstrike/>
                      <w:color w:val="333333"/>
                      <w:kern w:val="0"/>
                      <w:sz w:val="24"/>
                    </w:rPr>
                    <w:t>6,000</w:t>
                  </w:r>
                </w:p>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highlight w:val="lightGray"/>
                    </w:rPr>
                    <w:t>5,000</w:t>
                  </w:r>
                </w:p>
              </w:tc>
              <w:tc>
                <w:tcPr>
                  <w:tcW w:w="109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snapToGrid w:val="0"/>
                    <w:spacing w:before="200" w:line="288" w:lineRule="auto"/>
                    <w:jc w:val="center"/>
                    <w:rPr>
                      <w:rFonts w:ascii="Times New Roman" w:eastAsia="仿宋_GB2312" w:hAnsi="Times New Roman"/>
                      <w:dstrike/>
                      <w:color w:val="333333"/>
                      <w:kern w:val="0"/>
                      <w:sz w:val="24"/>
                    </w:rPr>
                  </w:pPr>
                  <w:r>
                    <w:rPr>
                      <w:rFonts w:ascii="Times New Roman" w:eastAsia="仿宋_GB2312" w:hAnsi="Times New Roman"/>
                      <w:dstrike/>
                      <w:color w:val="333333"/>
                      <w:kern w:val="0"/>
                      <w:sz w:val="24"/>
                    </w:rPr>
                    <w:t>3,000</w:t>
                  </w:r>
                </w:p>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highlight w:val="lightGray"/>
                    </w:rPr>
                    <w:t>5,000</w:t>
                  </w:r>
                </w:p>
              </w:tc>
            </w:tr>
            <w:tr w:rsidR="006C7973" w:rsidTr="00B2794F">
              <w:trPr>
                <w:trHeight w:val="465"/>
                <w:jc w:val="right"/>
              </w:trPr>
              <w:tc>
                <w:tcPr>
                  <w:tcW w:w="2430" w:type="dxa"/>
                  <w:vMerge/>
                  <w:tcBorders>
                    <w:left w:val="single" w:sz="4" w:space="0" w:color="auto"/>
                    <w:bottom w:val="single" w:sz="4" w:space="0" w:color="auto"/>
                    <w:right w:val="single" w:sz="4" w:space="0" w:color="auto"/>
                  </w:tcBorders>
                  <w:vAlign w:val="center"/>
                </w:tcPr>
                <w:p w:rsidR="006C7973" w:rsidRDefault="006C7973" w:rsidP="00B2794F">
                  <w:pPr>
                    <w:widowControl/>
                    <w:adjustRightInd w:val="0"/>
                    <w:snapToGrid w:val="0"/>
                    <w:spacing w:before="200" w:line="288" w:lineRule="auto"/>
                    <w:jc w:val="center"/>
                    <w:rPr>
                      <w:rFonts w:ascii="Times New Roman" w:hAnsi="Times New Roman" w:cs="Calibri"/>
                      <w:b/>
                      <w:kern w:val="0"/>
                      <w:sz w:val="24"/>
                      <w:lang w:bidi="ar"/>
                    </w:rPr>
                  </w:pPr>
                </w:p>
              </w:tc>
              <w:tc>
                <w:tcPr>
                  <w:tcW w:w="1758"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Delivery month</w:t>
                  </w:r>
                </w:p>
              </w:tc>
              <w:tc>
                <w:tcPr>
                  <w:tcW w:w="1757"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eastAsia="仿宋_GB2312" w:hAnsi="Times New Roman"/>
                      <w:dstrike/>
                      <w:color w:val="333333"/>
                      <w:kern w:val="0"/>
                      <w:sz w:val="24"/>
                    </w:rPr>
                  </w:pPr>
                  <w:r>
                    <w:rPr>
                      <w:rFonts w:ascii="Times New Roman" w:eastAsia="仿宋_GB2312" w:hAnsi="Times New Roman"/>
                      <w:dstrike/>
                      <w:color w:val="333333"/>
                      <w:kern w:val="0"/>
                      <w:sz w:val="24"/>
                      <w:lang w:bidi="ar"/>
                    </w:rPr>
                    <w:t>2,000</w:t>
                  </w:r>
                </w:p>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highlight w:val="lightGray"/>
                      <w:lang w:bidi="ar"/>
                    </w:rPr>
                    <w:t>2,500</w:t>
                  </w:r>
                </w:p>
              </w:tc>
              <w:tc>
                <w:tcPr>
                  <w:tcW w:w="1090"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eastAsia="仿宋_GB2312" w:hAnsi="Times New Roman"/>
                      <w:dstrike/>
                      <w:color w:val="333333"/>
                      <w:kern w:val="0"/>
                      <w:sz w:val="24"/>
                    </w:rPr>
                  </w:pPr>
                  <w:r>
                    <w:rPr>
                      <w:rFonts w:ascii="Times New Roman" w:eastAsia="仿宋_GB2312" w:hAnsi="Times New Roman"/>
                      <w:dstrike/>
                      <w:color w:val="333333"/>
                      <w:kern w:val="0"/>
                      <w:sz w:val="24"/>
                      <w:lang w:bidi="ar"/>
                    </w:rPr>
                    <w:t>1,000</w:t>
                  </w:r>
                </w:p>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highlight w:val="lightGray"/>
                      <w:lang w:bidi="ar"/>
                    </w:rPr>
                    <w:t>2,500</w:t>
                  </w:r>
                </w:p>
              </w:tc>
            </w:tr>
            <w:tr w:rsidR="006C7973" w:rsidTr="00B2794F">
              <w:trPr>
                <w:trHeight w:val="465"/>
                <w:jc w:val="right"/>
              </w:trPr>
              <w:tc>
                <w:tcPr>
                  <w:tcW w:w="2430" w:type="dxa"/>
                  <w:vMerge w:val="restart"/>
                  <w:tcBorders>
                    <w:top w:val="single" w:sz="4" w:space="0" w:color="auto"/>
                    <w:left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Polyvinyl chloride</w:t>
                  </w:r>
                </w:p>
              </w:tc>
              <w:tc>
                <w:tcPr>
                  <w:tcW w:w="1758"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 xml:space="preserve">As from the fifteenth trading day of the month immediately </w:t>
                  </w:r>
                  <w:r>
                    <w:rPr>
                      <w:rFonts w:ascii="Times New Roman" w:hAnsi="Times New Roman" w:cs="Calibri"/>
                      <w:kern w:val="0"/>
                      <w:sz w:val="24"/>
                      <w:lang w:bidi="ar"/>
                    </w:rPr>
                    <w:lastRenderedPageBreak/>
                    <w:t>preceding the delivery month</w:t>
                  </w:r>
                </w:p>
              </w:tc>
              <w:tc>
                <w:tcPr>
                  <w:tcW w:w="1757"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eastAsia="仿宋_GB2312" w:hAnsi="Times New Roman"/>
                      <w:dstrike/>
                      <w:color w:val="333333"/>
                      <w:sz w:val="24"/>
                    </w:rPr>
                  </w:pPr>
                  <w:r>
                    <w:rPr>
                      <w:rFonts w:ascii="Times New Roman" w:eastAsia="仿宋_GB2312" w:hAnsi="Times New Roman"/>
                      <w:dstrike/>
                      <w:color w:val="333333"/>
                      <w:sz w:val="24"/>
                      <w:lang w:bidi="ar"/>
                    </w:rPr>
                    <w:lastRenderedPageBreak/>
                    <w:t>10,000</w:t>
                  </w:r>
                </w:p>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sz w:val="24"/>
                      <w:highlight w:val="lightGray"/>
                      <w:lang w:bidi="ar"/>
                    </w:rPr>
                    <w:t>5,000</w:t>
                  </w:r>
                </w:p>
              </w:tc>
              <w:tc>
                <w:tcPr>
                  <w:tcW w:w="1090"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5,000</w:t>
                  </w:r>
                </w:p>
              </w:tc>
            </w:tr>
            <w:tr w:rsidR="006C7973" w:rsidTr="00B2794F">
              <w:trPr>
                <w:trHeight w:val="465"/>
                <w:jc w:val="right"/>
              </w:trPr>
              <w:tc>
                <w:tcPr>
                  <w:tcW w:w="2430" w:type="dxa"/>
                  <w:vMerge/>
                  <w:tcBorders>
                    <w:left w:val="single" w:sz="4" w:space="0" w:color="auto"/>
                    <w:bottom w:val="single" w:sz="4" w:space="0" w:color="auto"/>
                    <w:right w:val="single" w:sz="4" w:space="0" w:color="auto"/>
                  </w:tcBorders>
                  <w:vAlign w:val="center"/>
                </w:tcPr>
                <w:p w:rsidR="006C7973" w:rsidRDefault="006C7973" w:rsidP="00B2794F">
                  <w:pPr>
                    <w:widowControl/>
                    <w:adjustRightInd w:val="0"/>
                    <w:snapToGrid w:val="0"/>
                    <w:spacing w:before="200" w:line="288" w:lineRule="auto"/>
                    <w:jc w:val="center"/>
                    <w:rPr>
                      <w:rFonts w:ascii="Times New Roman" w:hAnsi="Times New Roman" w:cs="Calibri"/>
                      <w:b/>
                      <w:kern w:val="0"/>
                      <w:sz w:val="24"/>
                      <w:lang w:bidi="ar"/>
                    </w:rPr>
                  </w:pPr>
                </w:p>
              </w:tc>
              <w:tc>
                <w:tcPr>
                  <w:tcW w:w="1758"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Delivery month</w:t>
                  </w:r>
                </w:p>
              </w:tc>
              <w:tc>
                <w:tcPr>
                  <w:tcW w:w="1757"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eastAsia="仿宋_GB2312" w:hAnsi="Times New Roman"/>
                      <w:dstrike/>
                      <w:color w:val="333333"/>
                      <w:sz w:val="24"/>
                    </w:rPr>
                  </w:pPr>
                  <w:r>
                    <w:rPr>
                      <w:rFonts w:ascii="Times New Roman" w:eastAsia="仿宋_GB2312" w:hAnsi="Times New Roman"/>
                      <w:dstrike/>
                      <w:color w:val="333333"/>
                      <w:sz w:val="24"/>
                      <w:lang w:bidi="ar"/>
                    </w:rPr>
                    <w:t>5,000</w:t>
                  </w:r>
                </w:p>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highlight w:val="lightGray"/>
                      <w:lang w:bidi="ar"/>
                    </w:rPr>
                    <w:t>2,500</w:t>
                  </w:r>
                </w:p>
              </w:tc>
              <w:tc>
                <w:tcPr>
                  <w:tcW w:w="1090"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2,500</w:t>
                  </w:r>
                </w:p>
              </w:tc>
            </w:tr>
            <w:tr w:rsidR="006C7973" w:rsidTr="00B2794F">
              <w:trPr>
                <w:trHeight w:val="465"/>
                <w:jc w:val="right"/>
              </w:trPr>
              <w:tc>
                <w:tcPr>
                  <w:tcW w:w="2430"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1758"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1757"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1090"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r>
            <w:tr w:rsidR="006C7973" w:rsidTr="00B2794F">
              <w:trPr>
                <w:trHeight w:val="465"/>
                <w:jc w:val="right"/>
              </w:trPr>
              <w:tc>
                <w:tcPr>
                  <w:tcW w:w="2430" w:type="dxa"/>
                  <w:vMerge w:val="restart"/>
                  <w:tcBorders>
                    <w:top w:val="single" w:sz="4" w:space="0" w:color="auto"/>
                    <w:left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Polypropylene</w:t>
                  </w:r>
                </w:p>
              </w:tc>
              <w:tc>
                <w:tcPr>
                  <w:tcW w:w="1758"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As from the fifteenth trading day of the month immediately preceding the delivery month</w:t>
                  </w:r>
                </w:p>
              </w:tc>
              <w:tc>
                <w:tcPr>
                  <w:tcW w:w="1757"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5,000</w:t>
                  </w:r>
                </w:p>
              </w:tc>
              <w:tc>
                <w:tcPr>
                  <w:tcW w:w="109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5,000</w:t>
                  </w:r>
                </w:p>
              </w:tc>
            </w:tr>
            <w:tr w:rsidR="006C7973" w:rsidTr="00B2794F">
              <w:trPr>
                <w:trHeight w:val="465"/>
                <w:jc w:val="right"/>
              </w:trPr>
              <w:tc>
                <w:tcPr>
                  <w:tcW w:w="2430" w:type="dxa"/>
                  <w:vMerge/>
                  <w:tcBorders>
                    <w:left w:val="single" w:sz="4" w:space="0" w:color="auto"/>
                    <w:bottom w:val="single" w:sz="4" w:space="0" w:color="auto"/>
                    <w:right w:val="single" w:sz="4" w:space="0" w:color="auto"/>
                  </w:tcBorders>
                  <w:vAlign w:val="center"/>
                </w:tcPr>
                <w:p w:rsidR="006C7973" w:rsidRDefault="006C7973" w:rsidP="00B2794F">
                  <w:pPr>
                    <w:widowControl/>
                    <w:adjustRightInd w:val="0"/>
                    <w:snapToGrid w:val="0"/>
                    <w:spacing w:before="200" w:line="288" w:lineRule="auto"/>
                    <w:jc w:val="center"/>
                    <w:rPr>
                      <w:rFonts w:ascii="Times New Roman" w:hAnsi="Times New Roman" w:cs="Calibri"/>
                      <w:b/>
                      <w:kern w:val="0"/>
                      <w:sz w:val="24"/>
                      <w:lang w:bidi="ar"/>
                    </w:rPr>
                  </w:pPr>
                </w:p>
              </w:tc>
              <w:tc>
                <w:tcPr>
                  <w:tcW w:w="1758"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Delivery month</w:t>
                  </w:r>
                </w:p>
              </w:tc>
              <w:tc>
                <w:tcPr>
                  <w:tcW w:w="1757"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2,500</w:t>
                  </w:r>
                </w:p>
              </w:tc>
              <w:tc>
                <w:tcPr>
                  <w:tcW w:w="1090" w:type="dxa"/>
                  <w:tcBorders>
                    <w:top w:val="single" w:sz="4" w:space="0" w:color="auto"/>
                    <w:left w:val="single" w:sz="4" w:space="0" w:color="auto"/>
                    <w:bottom w:val="single" w:sz="4" w:space="0" w:color="auto"/>
                    <w:right w:val="single" w:sz="4" w:space="0" w:color="auto"/>
                  </w:tcBorders>
                </w:tcPr>
                <w:p w:rsidR="006C7973" w:rsidRDefault="006C7973" w:rsidP="00B2794F">
                  <w:pPr>
                    <w:widowControl/>
                    <w:autoSpaceDE w:val="0"/>
                    <w:autoSpaceDN w:val="0"/>
                    <w:adjustRightInd w:val="0"/>
                    <w:snapToGrid w:val="0"/>
                    <w:spacing w:before="200" w:line="288" w:lineRule="auto"/>
                    <w:jc w:val="center"/>
                    <w:rPr>
                      <w:rFonts w:ascii="Times New Roman" w:hAnsi="Times New Roman" w:cs="Calibri"/>
                      <w:b/>
                      <w:kern w:val="0"/>
                      <w:sz w:val="24"/>
                      <w:lang w:bidi="ar"/>
                    </w:rPr>
                  </w:pPr>
                  <w:r>
                    <w:rPr>
                      <w:rFonts w:ascii="Times New Roman" w:hAnsi="Times New Roman" w:cs="Calibri"/>
                      <w:kern w:val="0"/>
                      <w:sz w:val="24"/>
                      <w:lang w:bidi="ar"/>
                    </w:rPr>
                    <w:t>2,500</w:t>
                  </w:r>
                </w:p>
              </w:tc>
            </w:tr>
            <w:tr w:rsidR="006C7973" w:rsidTr="00B2794F">
              <w:trPr>
                <w:trHeight w:val="465"/>
                <w:jc w:val="right"/>
              </w:trPr>
              <w:tc>
                <w:tcPr>
                  <w:tcW w:w="2430"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1758"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1757"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c>
                <w:tcPr>
                  <w:tcW w:w="1090" w:type="dxa"/>
                  <w:tcBorders>
                    <w:top w:val="single" w:sz="4" w:space="0" w:color="auto"/>
                    <w:left w:val="single" w:sz="4" w:space="0" w:color="auto"/>
                    <w:bottom w:val="single" w:sz="4" w:space="0" w:color="auto"/>
                    <w:right w:val="single" w:sz="4" w:space="0" w:color="auto"/>
                  </w:tcBorders>
                  <w:vAlign w:val="center"/>
                </w:tcPr>
                <w:p w:rsidR="006C7973" w:rsidRDefault="006C7973" w:rsidP="00B2794F">
                  <w:pPr>
                    <w:widowControl/>
                    <w:snapToGrid w:val="0"/>
                    <w:spacing w:before="200" w:line="288" w:lineRule="auto"/>
                    <w:jc w:val="center"/>
                    <w:rPr>
                      <w:rFonts w:ascii="Times New Roman" w:hAnsi="Times New Roman" w:cs="Calibri"/>
                      <w:b/>
                      <w:kern w:val="0"/>
                      <w:sz w:val="24"/>
                      <w:lang w:bidi="ar"/>
                    </w:rPr>
                  </w:pPr>
                  <w:r>
                    <w:rPr>
                      <w:rFonts w:ascii="Times New Roman" w:eastAsia="仿宋_GB2312" w:hAnsi="Times New Roman"/>
                      <w:color w:val="333333"/>
                      <w:kern w:val="0"/>
                      <w:sz w:val="24"/>
                      <w:lang w:bidi="ar"/>
                    </w:rPr>
                    <w:t>……</w:t>
                  </w:r>
                </w:p>
              </w:tc>
            </w:tr>
          </w:tbl>
          <w:p w:rsidR="006C7973" w:rsidRDefault="006C7973" w:rsidP="00B2794F">
            <w:pPr>
              <w:widowControl/>
              <w:snapToGrid w:val="0"/>
              <w:spacing w:before="200" w:line="288" w:lineRule="auto"/>
              <w:rPr>
                <w:rFonts w:ascii="Times New Roman" w:eastAsia="楷体_GB2312" w:hAnsi="Times New Roman"/>
                <w:color w:val="000000"/>
                <w:kern w:val="0"/>
                <w:sz w:val="24"/>
              </w:rPr>
            </w:pPr>
          </w:p>
        </w:tc>
      </w:tr>
    </w:tbl>
    <w:p w:rsidR="006C7973" w:rsidRDefault="006C7973" w:rsidP="006C7973">
      <w:pPr>
        <w:snapToGrid w:val="0"/>
        <w:spacing w:before="200" w:line="288" w:lineRule="auto"/>
        <w:rPr>
          <w:rFonts w:ascii="Times New Roman" w:eastAsia="仿宋_GB2312" w:hAnsi="Times New Roman"/>
          <w:b/>
          <w:bCs/>
          <w:i/>
          <w:iCs/>
          <w:sz w:val="24"/>
        </w:rPr>
      </w:pPr>
    </w:p>
    <w:p w:rsidR="006C7973" w:rsidRDefault="006C7973" w:rsidP="006C7973">
      <w:pPr>
        <w:snapToGrid w:val="0"/>
        <w:spacing w:before="200" w:line="288" w:lineRule="auto"/>
        <w:rPr>
          <w:rFonts w:ascii="Times New Roman" w:eastAsia="仿宋_GB2312" w:hAnsi="Times New Roman"/>
          <w:i/>
          <w:iCs/>
          <w:sz w:val="24"/>
        </w:rPr>
      </w:pPr>
      <w:r>
        <w:rPr>
          <w:rFonts w:ascii="Times New Roman" w:eastAsia="仿宋_GB2312" w:hAnsi="Times New Roman"/>
          <w:b/>
          <w:bCs/>
          <w:i/>
          <w:iCs/>
          <w:sz w:val="24"/>
        </w:rPr>
        <w:t>Disclaimer</w:t>
      </w:r>
      <w:r>
        <w:rPr>
          <w:rFonts w:ascii="Times New Roman" w:eastAsia="仿宋_GB2312" w:hAnsi="Times New Roman"/>
          <w:i/>
          <w:iCs/>
          <w:sz w:val="24"/>
        </w:rPr>
        <w:t>: This English translation may be used for reference only. In case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p>
    <w:p w:rsidR="00A836F0" w:rsidRPr="006C7973" w:rsidRDefault="00A836F0"/>
    <w:sectPr w:rsidR="00A836F0" w:rsidRPr="006C7973" w:rsidSect="006C797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973" w:rsidRDefault="006C7973" w:rsidP="006C7973">
      <w:r>
        <w:separator/>
      </w:r>
    </w:p>
  </w:endnote>
  <w:endnote w:type="continuationSeparator" w:id="0">
    <w:p w:rsidR="006C7973" w:rsidRDefault="006C7973" w:rsidP="006C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973" w:rsidRDefault="006C7973" w:rsidP="006C7973">
      <w:r>
        <w:separator/>
      </w:r>
    </w:p>
  </w:footnote>
  <w:footnote w:type="continuationSeparator" w:id="0">
    <w:p w:rsidR="006C7973" w:rsidRDefault="006C7973" w:rsidP="006C7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9EC053"/>
    <w:multiLevelType w:val="multilevel"/>
    <w:tmpl w:val="E79EC053"/>
    <w:lvl w:ilvl="0">
      <w:start w:val="1"/>
      <w:numFmt w:val="lowerLetter"/>
      <w:lvlText w:val="(%1)"/>
      <w:lvlJc w:val="left"/>
      <w:pPr>
        <w:ind w:left="1443" w:firstLine="0"/>
      </w:pPr>
      <w:rPr>
        <w:rFonts w:ascii="Times New Roman" w:hAnsi="Times New Roman" w:cs="Times New Roman" w:hint="default"/>
      </w:rPr>
    </w:lvl>
    <w:lvl w:ilvl="1">
      <w:start w:val="1"/>
      <w:numFmt w:val="lowerLetter"/>
      <w:lvlText w:val="%2)"/>
      <w:lvlJc w:val="left"/>
      <w:pPr>
        <w:ind w:left="603" w:firstLine="0"/>
      </w:pPr>
      <w:rPr>
        <w:rFonts w:ascii="Times New Roman" w:hAnsi="Times New Roman" w:cs="Times New Roman" w:hint="default"/>
      </w:rPr>
    </w:lvl>
    <w:lvl w:ilvl="2">
      <w:start w:val="1"/>
      <w:numFmt w:val="lowerRoman"/>
      <w:lvlText w:val="%3."/>
      <w:lvlJc w:val="right"/>
      <w:pPr>
        <w:ind w:left="1023" w:firstLine="0"/>
      </w:pPr>
      <w:rPr>
        <w:rFonts w:ascii="Times New Roman" w:hAnsi="Times New Roman" w:cs="Times New Roman" w:hint="default"/>
      </w:rPr>
    </w:lvl>
    <w:lvl w:ilvl="3">
      <w:start w:val="1"/>
      <w:numFmt w:val="decimal"/>
      <w:lvlText w:val="%4."/>
      <w:lvlJc w:val="left"/>
      <w:pPr>
        <w:ind w:left="1443" w:firstLine="0"/>
      </w:pPr>
      <w:rPr>
        <w:rFonts w:ascii="Times New Roman" w:hAnsi="Times New Roman" w:cs="Times New Roman" w:hint="default"/>
      </w:rPr>
    </w:lvl>
    <w:lvl w:ilvl="4">
      <w:start w:val="1"/>
      <w:numFmt w:val="lowerLetter"/>
      <w:lvlText w:val="%5)"/>
      <w:lvlJc w:val="left"/>
      <w:pPr>
        <w:ind w:left="1863" w:firstLine="0"/>
      </w:pPr>
      <w:rPr>
        <w:rFonts w:ascii="Times New Roman" w:hAnsi="Times New Roman" w:cs="Times New Roman" w:hint="default"/>
      </w:rPr>
    </w:lvl>
    <w:lvl w:ilvl="5">
      <w:start w:val="1"/>
      <w:numFmt w:val="lowerRoman"/>
      <w:lvlText w:val="%6."/>
      <w:lvlJc w:val="right"/>
      <w:pPr>
        <w:ind w:left="2283" w:firstLine="0"/>
      </w:pPr>
      <w:rPr>
        <w:rFonts w:ascii="Times New Roman" w:hAnsi="Times New Roman" w:cs="Times New Roman" w:hint="default"/>
      </w:rPr>
    </w:lvl>
    <w:lvl w:ilvl="6">
      <w:start w:val="1"/>
      <w:numFmt w:val="decimal"/>
      <w:lvlText w:val="%7."/>
      <w:lvlJc w:val="left"/>
      <w:pPr>
        <w:ind w:left="2703" w:firstLine="0"/>
      </w:pPr>
      <w:rPr>
        <w:rFonts w:ascii="Times New Roman" w:hAnsi="Times New Roman" w:cs="Times New Roman" w:hint="default"/>
      </w:rPr>
    </w:lvl>
    <w:lvl w:ilvl="7">
      <w:start w:val="1"/>
      <w:numFmt w:val="lowerLetter"/>
      <w:lvlText w:val="%8)"/>
      <w:lvlJc w:val="left"/>
      <w:pPr>
        <w:ind w:left="3123" w:firstLine="0"/>
      </w:pPr>
      <w:rPr>
        <w:rFonts w:ascii="Times New Roman" w:hAnsi="Times New Roman" w:cs="Times New Roman" w:hint="default"/>
      </w:rPr>
    </w:lvl>
    <w:lvl w:ilvl="8">
      <w:start w:val="1"/>
      <w:numFmt w:val="lowerRoman"/>
      <w:lvlText w:val="%9."/>
      <w:lvlJc w:val="right"/>
      <w:pPr>
        <w:ind w:left="3543" w:firstLine="0"/>
      </w:pPr>
      <w:rPr>
        <w:rFonts w:ascii="Times New Roman" w:hAnsi="Times New Roman" w:cs="Times New Roman" w:hint="default"/>
      </w:rPr>
    </w:lvl>
  </w:abstractNum>
  <w:abstractNum w:abstractNumId="1" w15:restartNumberingAfterBreak="0">
    <w:nsid w:val="FDE8C5DC"/>
    <w:multiLevelType w:val="multilevel"/>
    <w:tmpl w:val="FDE8C5DC"/>
    <w:lvl w:ilvl="0">
      <w:start w:val="1"/>
      <w:numFmt w:val="decimal"/>
      <w:lvlText w:val="(%1)"/>
      <w:lvlJc w:val="left"/>
      <w:pPr>
        <w:ind w:left="420" w:firstLine="0"/>
      </w:pPr>
      <w:rPr>
        <w:rFonts w:ascii="Times New Roman" w:eastAsia="宋体" w:hAnsi="Times New Roman" w:cs="Times New Roman" w:hint="default"/>
        <w:b w:val="0"/>
        <w:i w:val="0"/>
      </w:rPr>
    </w:lvl>
    <w:lvl w:ilvl="1">
      <w:start w:val="1"/>
      <w:numFmt w:val="lowerLetter"/>
      <w:lvlText w:val="%2)"/>
      <w:lvlJc w:val="left"/>
      <w:pPr>
        <w:ind w:left="682" w:firstLine="0"/>
      </w:pPr>
      <w:rPr>
        <w:rFonts w:ascii="Times New Roman" w:hAnsi="Times New Roman" w:cs="Times New Roman" w:hint="default"/>
      </w:rPr>
    </w:lvl>
    <w:lvl w:ilvl="2">
      <w:start w:val="1"/>
      <w:numFmt w:val="lowerRoman"/>
      <w:lvlText w:val="%3."/>
      <w:lvlJc w:val="right"/>
      <w:pPr>
        <w:ind w:left="1102" w:firstLine="0"/>
      </w:pPr>
      <w:rPr>
        <w:rFonts w:ascii="Times New Roman" w:hAnsi="Times New Roman" w:cs="Times New Roman" w:hint="default"/>
      </w:rPr>
    </w:lvl>
    <w:lvl w:ilvl="3">
      <w:start w:val="1"/>
      <w:numFmt w:val="decimal"/>
      <w:lvlText w:val="%4."/>
      <w:lvlJc w:val="left"/>
      <w:pPr>
        <w:ind w:left="1522" w:firstLine="0"/>
      </w:pPr>
      <w:rPr>
        <w:rFonts w:ascii="Times New Roman" w:hAnsi="Times New Roman" w:cs="Times New Roman" w:hint="default"/>
      </w:rPr>
    </w:lvl>
    <w:lvl w:ilvl="4">
      <w:start w:val="1"/>
      <w:numFmt w:val="lowerLetter"/>
      <w:lvlText w:val="%5)"/>
      <w:lvlJc w:val="left"/>
      <w:pPr>
        <w:ind w:left="1942" w:firstLine="0"/>
      </w:pPr>
      <w:rPr>
        <w:rFonts w:ascii="Times New Roman" w:hAnsi="Times New Roman" w:cs="Times New Roman" w:hint="default"/>
      </w:rPr>
    </w:lvl>
    <w:lvl w:ilvl="5">
      <w:start w:val="1"/>
      <w:numFmt w:val="lowerRoman"/>
      <w:lvlText w:val="%6."/>
      <w:lvlJc w:val="right"/>
      <w:pPr>
        <w:ind w:left="2362" w:firstLine="0"/>
      </w:pPr>
      <w:rPr>
        <w:rFonts w:ascii="Times New Roman" w:hAnsi="Times New Roman" w:cs="Times New Roman" w:hint="default"/>
      </w:rPr>
    </w:lvl>
    <w:lvl w:ilvl="6">
      <w:start w:val="1"/>
      <w:numFmt w:val="decimal"/>
      <w:lvlText w:val="%7."/>
      <w:lvlJc w:val="left"/>
      <w:pPr>
        <w:ind w:left="2782" w:firstLine="0"/>
      </w:pPr>
      <w:rPr>
        <w:rFonts w:ascii="Times New Roman" w:hAnsi="Times New Roman" w:cs="Times New Roman" w:hint="default"/>
      </w:rPr>
    </w:lvl>
    <w:lvl w:ilvl="7">
      <w:start w:val="1"/>
      <w:numFmt w:val="lowerLetter"/>
      <w:lvlText w:val="%8)"/>
      <w:lvlJc w:val="left"/>
      <w:pPr>
        <w:ind w:left="3202" w:firstLine="0"/>
      </w:pPr>
      <w:rPr>
        <w:rFonts w:ascii="Times New Roman" w:hAnsi="Times New Roman" w:cs="Times New Roman" w:hint="default"/>
      </w:rPr>
    </w:lvl>
    <w:lvl w:ilvl="8">
      <w:start w:val="1"/>
      <w:numFmt w:val="lowerRoman"/>
      <w:lvlText w:val="%9."/>
      <w:lvlJc w:val="right"/>
      <w:pPr>
        <w:ind w:left="3622" w:firstLine="0"/>
      </w:pPr>
      <w:rPr>
        <w:rFonts w:ascii="Times New Roman" w:hAnsi="Times New Roman" w:cs="Times New Roman" w:hint="default"/>
      </w:rPr>
    </w:lvl>
  </w:abstractNum>
  <w:abstractNum w:abstractNumId="2" w15:restartNumberingAfterBreak="0">
    <w:nsid w:val="FE7F8C42"/>
    <w:multiLevelType w:val="multilevel"/>
    <w:tmpl w:val="FE7F8C42"/>
    <w:lvl w:ilvl="0">
      <w:start w:val="1"/>
      <w:numFmt w:val="lowerLetter"/>
      <w:lvlText w:val="(%1)"/>
      <w:lvlJc w:val="left"/>
      <w:pPr>
        <w:ind w:left="1443" w:firstLine="0"/>
      </w:pPr>
      <w:rPr>
        <w:rFonts w:ascii="Times New Roman" w:hAnsi="Times New Roman" w:cs="Times New Roman" w:hint="default"/>
        <w:sz w:val="24"/>
        <w:szCs w:val="24"/>
      </w:rPr>
    </w:lvl>
    <w:lvl w:ilvl="1">
      <w:start w:val="1"/>
      <w:numFmt w:val="lowerLetter"/>
      <w:lvlText w:val="%2)"/>
      <w:lvlJc w:val="left"/>
      <w:pPr>
        <w:ind w:left="603" w:firstLine="0"/>
      </w:pPr>
      <w:rPr>
        <w:rFonts w:ascii="Times New Roman" w:hAnsi="Times New Roman" w:cs="Times New Roman" w:hint="default"/>
      </w:rPr>
    </w:lvl>
    <w:lvl w:ilvl="2">
      <w:start w:val="1"/>
      <w:numFmt w:val="lowerRoman"/>
      <w:lvlText w:val="%3."/>
      <w:lvlJc w:val="right"/>
      <w:pPr>
        <w:ind w:left="1023" w:firstLine="0"/>
      </w:pPr>
      <w:rPr>
        <w:rFonts w:ascii="Times New Roman" w:hAnsi="Times New Roman" w:cs="Times New Roman" w:hint="default"/>
      </w:rPr>
    </w:lvl>
    <w:lvl w:ilvl="3">
      <w:start w:val="1"/>
      <w:numFmt w:val="decimal"/>
      <w:lvlText w:val="%4."/>
      <w:lvlJc w:val="left"/>
      <w:pPr>
        <w:ind w:left="1443" w:firstLine="0"/>
      </w:pPr>
      <w:rPr>
        <w:rFonts w:ascii="Times New Roman" w:hAnsi="Times New Roman" w:cs="Times New Roman" w:hint="default"/>
      </w:rPr>
    </w:lvl>
    <w:lvl w:ilvl="4">
      <w:start w:val="1"/>
      <w:numFmt w:val="lowerLetter"/>
      <w:lvlText w:val="%5)"/>
      <w:lvlJc w:val="left"/>
      <w:pPr>
        <w:ind w:left="1863" w:firstLine="0"/>
      </w:pPr>
      <w:rPr>
        <w:rFonts w:ascii="Times New Roman" w:hAnsi="Times New Roman" w:cs="Times New Roman" w:hint="default"/>
      </w:rPr>
    </w:lvl>
    <w:lvl w:ilvl="5">
      <w:start w:val="1"/>
      <w:numFmt w:val="lowerRoman"/>
      <w:lvlText w:val="%6."/>
      <w:lvlJc w:val="right"/>
      <w:pPr>
        <w:ind w:left="2283" w:firstLine="0"/>
      </w:pPr>
      <w:rPr>
        <w:rFonts w:ascii="Times New Roman" w:hAnsi="Times New Roman" w:cs="Times New Roman" w:hint="default"/>
      </w:rPr>
    </w:lvl>
    <w:lvl w:ilvl="6">
      <w:start w:val="1"/>
      <w:numFmt w:val="decimal"/>
      <w:lvlText w:val="%7."/>
      <w:lvlJc w:val="left"/>
      <w:pPr>
        <w:ind w:left="2703" w:firstLine="0"/>
      </w:pPr>
      <w:rPr>
        <w:rFonts w:ascii="Times New Roman" w:hAnsi="Times New Roman" w:cs="Times New Roman" w:hint="default"/>
      </w:rPr>
    </w:lvl>
    <w:lvl w:ilvl="7">
      <w:start w:val="1"/>
      <w:numFmt w:val="lowerLetter"/>
      <w:lvlText w:val="%8)"/>
      <w:lvlJc w:val="left"/>
      <w:pPr>
        <w:ind w:left="3123" w:firstLine="0"/>
      </w:pPr>
      <w:rPr>
        <w:rFonts w:ascii="Times New Roman" w:hAnsi="Times New Roman" w:cs="Times New Roman" w:hint="default"/>
      </w:rPr>
    </w:lvl>
    <w:lvl w:ilvl="8">
      <w:start w:val="1"/>
      <w:numFmt w:val="lowerRoman"/>
      <w:lvlText w:val="%9."/>
      <w:lvlJc w:val="right"/>
      <w:pPr>
        <w:ind w:left="3543" w:firstLine="0"/>
      </w:pPr>
      <w:rPr>
        <w:rFonts w:ascii="Times New Roman" w:hAnsi="Times New Roman" w:cs="Times New Roman" w:hint="default"/>
      </w:rPr>
    </w:lvl>
  </w:abstractNum>
  <w:abstractNum w:abstractNumId="3" w15:restartNumberingAfterBreak="0">
    <w:nsid w:val="FF7F5BFF"/>
    <w:multiLevelType w:val="multilevel"/>
    <w:tmpl w:val="FF7F5BFF"/>
    <w:lvl w:ilvl="0">
      <w:start w:val="1"/>
      <w:numFmt w:val="decimal"/>
      <w:lvlText w:val="(%1)"/>
      <w:lvlJc w:val="left"/>
      <w:pPr>
        <w:ind w:left="420" w:firstLine="0"/>
      </w:pPr>
      <w:rPr>
        <w:rFonts w:ascii="Times New Roman" w:eastAsia="宋体" w:hAnsi="Times New Roman" w:cs="Times New Roman" w:hint="default"/>
        <w:b w:val="0"/>
        <w:i w:val="0"/>
      </w:rPr>
    </w:lvl>
    <w:lvl w:ilvl="1">
      <w:start w:val="1"/>
      <w:numFmt w:val="lowerLetter"/>
      <w:lvlText w:val="%2)"/>
      <w:lvlJc w:val="left"/>
      <w:pPr>
        <w:ind w:left="682" w:firstLine="0"/>
      </w:pPr>
      <w:rPr>
        <w:rFonts w:ascii="Times New Roman" w:hAnsi="Times New Roman" w:cs="Times New Roman" w:hint="default"/>
      </w:rPr>
    </w:lvl>
    <w:lvl w:ilvl="2">
      <w:start w:val="1"/>
      <w:numFmt w:val="lowerRoman"/>
      <w:lvlText w:val="%3."/>
      <w:lvlJc w:val="right"/>
      <w:pPr>
        <w:ind w:left="1102" w:firstLine="0"/>
      </w:pPr>
      <w:rPr>
        <w:rFonts w:ascii="Times New Roman" w:hAnsi="Times New Roman" w:cs="Times New Roman" w:hint="default"/>
      </w:rPr>
    </w:lvl>
    <w:lvl w:ilvl="3">
      <w:start w:val="1"/>
      <w:numFmt w:val="decimal"/>
      <w:lvlText w:val="%4."/>
      <w:lvlJc w:val="left"/>
      <w:pPr>
        <w:ind w:left="1522" w:firstLine="0"/>
      </w:pPr>
      <w:rPr>
        <w:rFonts w:ascii="Times New Roman" w:hAnsi="Times New Roman" w:cs="Times New Roman" w:hint="default"/>
      </w:rPr>
    </w:lvl>
    <w:lvl w:ilvl="4">
      <w:start w:val="1"/>
      <w:numFmt w:val="lowerLetter"/>
      <w:lvlText w:val="%5)"/>
      <w:lvlJc w:val="left"/>
      <w:pPr>
        <w:ind w:left="1942" w:firstLine="0"/>
      </w:pPr>
      <w:rPr>
        <w:rFonts w:ascii="Times New Roman" w:hAnsi="Times New Roman" w:cs="Times New Roman" w:hint="default"/>
      </w:rPr>
    </w:lvl>
    <w:lvl w:ilvl="5">
      <w:start w:val="1"/>
      <w:numFmt w:val="lowerRoman"/>
      <w:lvlText w:val="%6."/>
      <w:lvlJc w:val="right"/>
      <w:pPr>
        <w:ind w:left="2362" w:firstLine="0"/>
      </w:pPr>
      <w:rPr>
        <w:rFonts w:ascii="Times New Roman" w:hAnsi="Times New Roman" w:cs="Times New Roman" w:hint="default"/>
      </w:rPr>
    </w:lvl>
    <w:lvl w:ilvl="6">
      <w:start w:val="1"/>
      <w:numFmt w:val="decimal"/>
      <w:lvlText w:val="%7."/>
      <w:lvlJc w:val="left"/>
      <w:pPr>
        <w:ind w:left="2782" w:firstLine="0"/>
      </w:pPr>
      <w:rPr>
        <w:rFonts w:ascii="Times New Roman" w:hAnsi="Times New Roman" w:cs="Times New Roman" w:hint="default"/>
      </w:rPr>
    </w:lvl>
    <w:lvl w:ilvl="7">
      <w:start w:val="1"/>
      <w:numFmt w:val="lowerLetter"/>
      <w:lvlText w:val="%8)"/>
      <w:lvlJc w:val="left"/>
      <w:pPr>
        <w:ind w:left="3202" w:firstLine="0"/>
      </w:pPr>
      <w:rPr>
        <w:rFonts w:ascii="Times New Roman" w:hAnsi="Times New Roman" w:cs="Times New Roman" w:hint="default"/>
      </w:rPr>
    </w:lvl>
    <w:lvl w:ilvl="8">
      <w:start w:val="1"/>
      <w:numFmt w:val="lowerRoman"/>
      <w:lvlText w:val="%9."/>
      <w:lvlJc w:val="right"/>
      <w:pPr>
        <w:ind w:left="3622" w:firstLine="0"/>
      </w:pPr>
      <w:rPr>
        <w:rFonts w:ascii="Times New Roman" w:hAnsi="Times New Roman"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F9F"/>
    <w:rsid w:val="005A7F9F"/>
    <w:rsid w:val="006C7973"/>
    <w:rsid w:val="00A83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31591"/>
  <w15:chartTrackingRefBased/>
  <w15:docId w15:val="{0FF68727-167C-4ABB-9ECE-B70A97ED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97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97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7973"/>
    <w:rPr>
      <w:sz w:val="18"/>
      <w:szCs w:val="18"/>
    </w:rPr>
  </w:style>
  <w:style w:type="paragraph" w:styleId="a5">
    <w:name w:val="footer"/>
    <w:basedOn w:val="a"/>
    <w:link w:val="a6"/>
    <w:uiPriority w:val="99"/>
    <w:unhideWhenUsed/>
    <w:rsid w:val="006C7973"/>
    <w:pPr>
      <w:tabs>
        <w:tab w:val="center" w:pos="4153"/>
        <w:tab w:val="right" w:pos="8306"/>
      </w:tabs>
      <w:snapToGrid w:val="0"/>
      <w:jc w:val="left"/>
    </w:pPr>
    <w:rPr>
      <w:sz w:val="18"/>
      <w:szCs w:val="18"/>
    </w:rPr>
  </w:style>
  <w:style w:type="character" w:customStyle="1" w:styleId="a6">
    <w:name w:val="页脚 字符"/>
    <w:basedOn w:val="a0"/>
    <w:link w:val="a5"/>
    <w:uiPriority w:val="99"/>
    <w:rsid w:val="006C79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856</Words>
  <Characters>4882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2024-05-20T03:30:00Z</dcterms:created>
  <dcterms:modified xsi:type="dcterms:W3CDTF">2024-05-20T03:31:00Z</dcterms:modified>
</cp:coreProperties>
</file>