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A25" w:rsidRDefault="00F86A25" w:rsidP="00F86A25">
      <w:pPr>
        <w:widowControl/>
        <w:adjustRightInd w:val="0"/>
        <w:snapToGrid w:val="0"/>
        <w:spacing w:before="200" w:line="288" w:lineRule="auto"/>
        <w:jc w:val="left"/>
        <w:outlineLvl w:val="0"/>
        <w:rPr>
          <w:rFonts w:ascii="Times New Roman" w:eastAsia="黑体" w:hAnsi="Times New Roman"/>
          <w:kern w:val="0"/>
          <w:sz w:val="24"/>
        </w:rPr>
      </w:pPr>
      <w:r>
        <w:rPr>
          <w:rFonts w:ascii="Times New Roman" w:eastAsia="黑体" w:hAnsi="Times New Roman"/>
          <w:kern w:val="0"/>
          <w:sz w:val="24"/>
        </w:rPr>
        <w:t>Attachment 2</w:t>
      </w:r>
    </w:p>
    <w:p w:rsidR="00F86A25" w:rsidRDefault="00F86A25" w:rsidP="00F86A25">
      <w:pPr>
        <w:adjustRightInd w:val="0"/>
        <w:snapToGrid w:val="0"/>
        <w:spacing w:before="200" w:line="288" w:lineRule="auto"/>
        <w:jc w:val="center"/>
        <w:outlineLvl w:val="1"/>
        <w:rPr>
          <w:rFonts w:ascii="Times New Roman" w:eastAsia="仿宋_GB2312" w:hAnsi="Times New Roman"/>
          <w:b/>
          <w:sz w:val="24"/>
        </w:rPr>
      </w:pPr>
      <w:r>
        <w:rPr>
          <w:rFonts w:ascii="Times New Roman" w:eastAsia="仿宋_GB2312" w:hAnsi="Times New Roman"/>
          <w:b/>
          <w:sz w:val="24"/>
        </w:rPr>
        <w:t>Comparison Table of the Amendm</w:t>
      </w:r>
      <w:bookmarkStart w:id="0" w:name="_GoBack"/>
      <w:bookmarkEnd w:id="0"/>
      <w:r>
        <w:rPr>
          <w:rFonts w:ascii="Times New Roman" w:eastAsia="仿宋_GB2312" w:hAnsi="Times New Roman"/>
          <w:b/>
          <w:sz w:val="24"/>
        </w:rPr>
        <w:t>ents to the Measures for Clearing Management of Dalian Commodity Exchange</w:t>
      </w:r>
    </w:p>
    <w:p w:rsidR="00F86A25" w:rsidRDefault="00F86A25" w:rsidP="00F86A25">
      <w:pPr>
        <w:widowControl/>
        <w:snapToGrid w:val="0"/>
        <w:spacing w:before="200" w:line="288" w:lineRule="auto"/>
        <w:jc w:val="center"/>
        <w:rPr>
          <w:rFonts w:ascii="Times New Roman" w:hAnsi="Times New Roman"/>
          <w:b/>
          <w:bCs/>
          <w:kern w:val="0"/>
          <w:sz w:val="24"/>
          <w:lang w:eastAsia="zh-Hans" w:bidi="ar"/>
        </w:rPr>
      </w:pPr>
      <w:r>
        <w:rPr>
          <w:rFonts w:ascii="Times New Roman" w:eastAsia="楷体_GB2312" w:hAnsi="Times New Roman"/>
          <w:color w:val="000000"/>
          <w:kern w:val="0"/>
          <w:sz w:val="24"/>
        </w:rPr>
        <w:t>(Contents newly added are in shade)</w:t>
      </w:r>
    </w:p>
    <w:tbl>
      <w:tblPr>
        <w:tblW w:w="495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right w:w="142" w:type="dxa"/>
        </w:tblCellMar>
        <w:tblLook w:val="0000" w:firstRow="0" w:lastRow="0" w:firstColumn="0" w:lastColumn="0" w:noHBand="0" w:noVBand="0"/>
      </w:tblPr>
      <w:tblGrid>
        <w:gridCol w:w="4106"/>
        <w:gridCol w:w="4107"/>
      </w:tblGrid>
      <w:tr w:rsidR="00F86A25" w:rsidTr="003C350A">
        <w:tc>
          <w:tcPr>
            <w:tcW w:w="2500" w:type="pct"/>
          </w:tcPr>
          <w:p w:rsidR="00F86A25" w:rsidRDefault="00F86A25" w:rsidP="003C350A">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Original Articles</w:t>
            </w:r>
          </w:p>
        </w:tc>
        <w:tc>
          <w:tcPr>
            <w:tcW w:w="2500" w:type="pct"/>
          </w:tcPr>
          <w:p w:rsidR="00F86A25" w:rsidRDefault="00F86A25" w:rsidP="003C350A">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Amended Articles</w:t>
            </w:r>
          </w:p>
        </w:tc>
      </w:tr>
      <w:tr w:rsidR="00F86A25" w:rsidTr="003C350A">
        <w:trPr>
          <w:trHeight w:val="1298"/>
        </w:trPr>
        <w:tc>
          <w:tcPr>
            <w:tcW w:w="2500" w:type="pct"/>
          </w:tcPr>
          <w:p w:rsidR="00F86A25" w:rsidRDefault="00F86A25" w:rsidP="003C350A">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t>Article 38</w:t>
            </w:r>
            <w:r>
              <w:rPr>
                <w:rFonts w:ascii="Times New Roman" w:eastAsia="楷体_GB2312" w:hAnsi="Times New Roman"/>
                <w:color w:val="000000"/>
                <w:kern w:val="0"/>
                <w:sz w:val="24"/>
              </w:rPr>
              <w:tab/>
              <w:t>The Exchange will charge the trading commissions on the basis of the quantity, or amount, of the concluded contracts of the then-current day for the Members. The Exchange may formulate different standards of trading commissions in connection with the different products, contracts, trading types, trading volume and open interests.</w:t>
            </w:r>
          </w:p>
          <w:p w:rsidR="00F86A25" w:rsidRDefault="00F86A25" w:rsidP="003C350A">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t>The Exchange may collect the order fee and other fees based on the number of the order placements or cancellations.</w:t>
            </w:r>
          </w:p>
          <w:p w:rsidR="00F86A25" w:rsidRDefault="00F86A25" w:rsidP="003C350A">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t>The standards of trading commission, order fee and other fees shall be separately prescribed by the Exchange. The Exchange may adjust the methods and standards of collecting such fees based on the market situation.</w:t>
            </w:r>
          </w:p>
          <w:p w:rsidR="00F86A25" w:rsidRDefault="00F86A25" w:rsidP="003C350A">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t>The Exchange may reduce the trading commissions payable by the Members, the schemes of which shall be separately formulated and adjusted based on the market situation by the Exchange.</w:t>
            </w:r>
          </w:p>
        </w:tc>
        <w:tc>
          <w:tcPr>
            <w:tcW w:w="2500" w:type="pct"/>
          </w:tcPr>
          <w:p w:rsidR="00F86A25" w:rsidRDefault="00F86A25" w:rsidP="003C350A">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t>Article 38</w:t>
            </w:r>
            <w:r>
              <w:rPr>
                <w:rFonts w:ascii="Times New Roman" w:eastAsia="楷体_GB2312" w:hAnsi="Times New Roman"/>
                <w:color w:val="000000"/>
                <w:kern w:val="0"/>
                <w:sz w:val="24"/>
              </w:rPr>
              <w:tab/>
              <w:t>The Exchange will charge the trading commissions on the basis of the quantity, or amount, of the concluded contracts of the then-current day for the Members. The Exchange may formulate different standards of trading commissions in connection with the different products, contracts, trading types, trading volume and open interests.</w:t>
            </w:r>
          </w:p>
          <w:p w:rsidR="00F86A25" w:rsidRDefault="00F86A25" w:rsidP="003C350A">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t>The Exchange may collect the order fee and other fees based on the number of the order placements or cancellations.</w:t>
            </w:r>
          </w:p>
          <w:p w:rsidR="00F86A25" w:rsidRDefault="00F86A25" w:rsidP="003C350A">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t>The standards of trading commission, order fee and other fees shall be separately prescribed by the Exchange. The Exchange may adjust the methods and standards of collecting such fees based on the market situation.</w:t>
            </w:r>
          </w:p>
          <w:p w:rsidR="00F86A25" w:rsidRDefault="00F86A25" w:rsidP="003C350A">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t>The Exchange may reduce the trading commissions payable by the Members, the schemes of which shall be separately formulated and adjusted based on the market situation by the Exchange.</w:t>
            </w:r>
            <w:r>
              <w:rPr>
                <w:rFonts w:ascii="Times New Roman" w:eastAsia="楷体_GB2312" w:hAnsi="Times New Roman"/>
                <w:color w:val="000000"/>
                <w:kern w:val="0"/>
                <w:szCs w:val="21"/>
              </w:rPr>
              <w:t xml:space="preserve"> </w:t>
            </w:r>
            <w:r>
              <w:rPr>
                <w:rFonts w:ascii="Times New Roman" w:eastAsia="仿宋_GB2312" w:hAnsi="Times New Roman"/>
                <w:sz w:val="24"/>
                <w:shd w:val="clear" w:color="FFFFFF" w:fill="D9D9D9"/>
              </w:rPr>
              <w:t xml:space="preserve">The Members shall use the trading commissions reduced by the Exchange in a standardized manner pursuant to the laws, regulations, rules, and relevant </w:t>
            </w:r>
            <w:bookmarkStart w:id="1" w:name="_Hlk168055546"/>
            <w:r>
              <w:rPr>
                <w:rFonts w:ascii="Times New Roman" w:eastAsia="仿宋_GB2312" w:hAnsi="Times New Roman"/>
                <w:sz w:val="24"/>
                <w:shd w:val="clear" w:color="FFFFFF" w:fill="D9D9D9"/>
              </w:rPr>
              <w:t xml:space="preserve">provisions </w:t>
            </w:r>
            <w:bookmarkEnd w:id="1"/>
            <w:r>
              <w:rPr>
                <w:rFonts w:ascii="Times New Roman" w:eastAsia="仿宋_GB2312" w:hAnsi="Times New Roman"/>
                <w:sz w:val="24"/>
                <w:shd w:val="clear" w:color="FFFFFF" w:fill="D9D9D9"/>
              </w:rPr>
              <w:t>of the Exchange.</w:t>
            </w:r>
          </w:p>
        </w:tc>
      </w:tr>
    </w:tbl>
    <w:p w:rsidR="00F86A25" w:rsidRDefault="00F86A25" w:rsidP="00F86A25">
      <w:pPr>
        <w:adjustRightInd w:val="0"/>
        <w:snapToGrid w:val="0"/>
        <w:spacing w:before="200" w:line="288" w:lineRule="auto"/>
        <w:jc w:val="center"/>
        <w:outlineLvl w:val="1"/>
        <w:rPr>
          <w:rFonts w:ascii="Times New Roman" w:eastAsia="仿宋_GB2312" w:hAnsi="Times New Roman"/>
          <w:b/>
          <w:sz w:val="24"/>
        </w:rPr>
      </w:pPr>
    </w:p>
    <w:p w:rsidR="00804F21" w:rsidRPr="00F86A25" w:rsidRDefault="00804F21">
      <w:pPr>
        <w:rPr>
          <w:rFonts w:hint="eastAsia"/>
        </w:rPr>
      </w:pPr>
    </w:p>
    <w:sectPr w:rsidR="00804F21" w:rsidRPr="00F86A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A25" w:rsidRDefault="00F86A25" w:rsidP="00F86A25">
      <w:r>
        <w:separator/>
      </w:r>
    </w:p>
  </w:endnote>
  <w:endnote w:type="continuationSeparator" w:id="0">
    <w:p w:rsidR="00F86A25" w:rsidRDefault="00F86A25" w:rsidP="00F8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A25" w:rsidRDefault="00F86A25" w:rsidP="00F86A25">
      <w:r>
        <w:separator/>
      </w:r>
    </w:p>
  </w:footnote>
  <w:footnote w:type="continuationSeparator" w:id="0">
    <w:p w:rsidR="00F86A25" w:rsidRDefault="00F86A25" w:rsidP="00F86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19"/>
    <w:rsid w:val="00804F21"/>
    <w:rsid w:val="00F86A25"/>
    <w:rsid w:val="00FA2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8EFFE"/>
  <w15:chartTrackingRefBased/>
  <w15:docId w15:val="{C611107C-65DD-49B2-98FA-74F76474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A2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A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86A25"/>
    <w:rPr>
      <w:sz w:val="18"/>
      <w:szCs w:val="18"/>
    </w:rPr>
  </w:style>
  <w:style w:type="paragraph" w:styleId="a5">
    <w:name w:val="footer"/>
    <w:basedOn w:val="a"/>
    <w:link w:val="a6"/>
    <w:uiPriority w:val="99"/>
    <w:unhideWhenUsed/>
    <w:rsid w:val="00F86A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86A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2024-06-14T08:22:00Z</dcterms:created>
  <dcterms:modified xsi:type="dcterms:W3CDTF">2024-06-14T08:22:00Z</dcterms:modified>
</cp:coreProperties>
</file>