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8C" w:rsidRDefault="000D4D8C" w:rsidP="000D4D8C">
      <w:pPr>
        <w:pStyle w:val="1"/>
        <w:adjustRightInd w:val="0"/>
        <w:snapToGrid w:val="0"/>
        <w:spacing w:before="200" w:beforeAutospacing="0" w:line="288" w:lineRule="auto"/>
        <w:ind w:firstLineChars="0" w:firstLine="0"/>
        <w:outlineLvl w:val="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Attachment 2</w:t>
      </w:r>
    </w:p>
    <w:p w:rsidR="000D4D8C" w:rsidRDefault="000D4D8C" w:rsidP="000D4D8C">
      <w:pPr>
        <w:adjustRightInd w:val="0"/>
        <w:snapToGrid w:val="0"/>
        <w:spacing w:before="200" w:line="288" w:lineRule="auto"/>
        <w:jc w:val="center"/>
        <w:outlineLvl w:val="1"/>
        <w:rPr>
          <w:rFonts w:ascii="Times New Roman" w:eastAsia="仿宋_GB2312" w:hAnsi="Times New Roman"/>
          <w:b/>
          <w:bCs/>
          <w:sz w:val="24"/>
          <w:szCs w:val="24"/>
        </w:rPr>
      </w:pPr>
      <w:r>
        <w:rPr>
          <w:rFonts w:ascii="Times New Roman" w:eastAsia="仿宋_GB2312" w:hAnsi="Times New Roman"/>
          <w:b/>
          <w:bCs/>
          <w:sz w:val="24"/>
          <w:szCs w:val="24"/>
        </w:rPr>
        <w:t>Comparison Table of the Amendments to the Measures for Administration of Abnorma</w:t>
      </w:r>
      <w:bookmarkStart w:id="0" w:name="_GoBack"/>
      <w:bookmarkEnd w:id="0"/>
      <w:r>
        <w:rPr>
          <w:rFonts w:ascii="Times New Roman" w:eastAsia="仿宋_GB2312" w:hAnsi="Times New Roman"/>
          <w:b/>
          <w:bCs/>
          <w:sz w:val="24"/>
          <w:szCs w:val="24"/>
        </w:rPr>
        <w:t>l Trading Behaviors of Dalian Commodity Exchange</w:t>
      </w:r>
    </w:p>
    <w:p w:rsidR="000D4D8C" w:rsidRDefault="000D4D8C" w:rsidP="000D4D8C">
      <w:pPr>
        <w:snapToGrid w:val="0"/>
        <w:spacing w:before="20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楷体_GB2312" w:hAnsi="Times New Roman"/>
          <w:color w:val="000000"/>
          <w:sz w:val="24"/>
          <w:szCs w:val="24"/>
        </w:rPr>
        <w:t>(Contents newly added are in shade</w:t>
      </w:r>
      <w:r>
        <w:rPr>
          <w:rFonts w:ascii="Times New Roman" w:eastAsia="楷体_GB2312" w:hAnsi="Times New Roman"/>
          <w:color w:val="000000"/>
          <w:kern w:val="0"/>
          <w:sz w:val="24"/>
          <w:szCs w:val="24"/>
        </w:rPr>
        <w:t>; and contents deleted are marked with double strikethrough</w:t>
      </w:r>
      <w:r>
        <w:rPr>
          <w:rFonts w:ascii="Times New Roman" w:eastAsia="楷体_GB2312" w:hAnsi="Times New Roman"/>
          <w:color w:val="000000"/>
          <w:sz w:val="24"/>
          <w:szCs w:val="24"/>
        </w:rPr>
        <w:t>)</w:t>
      </w:r>
    </w:p>
    <w:tbl>
      <w:tblPr>
        <w:tblW w:w="556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619"/>
        <w:gridCol w:w="4619"/>
      </w:tblGrid>
      <w:tr w:rsidR="000D4D8C" w:rsidTr="00FC7CF8">
        <w:trPr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8C" w:rsidRDefault="000D4D8C" w:rsidP="00FC7CF8">
            <w:pPr>
              <w:snapToGrid w:val="0"/>
              <w:spacing w:before="200" w:line="288" w:lineRule="auto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Original Articles</w:t>
            </w:r>
          </w:p>
        </w:tc>
        <w:tc>
          <w:tcPr>
            <w:tcW w:w="2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D4D8C" w:rsidRDefault="000D4D8C" w:rsidP="00FC7CF8">
            <w:pPr>
              <w:snapToGrid w:val="0"/>
              <w:spacing w:before="200" w:line="288" w:lineRule="auto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Amended Articles</w:t>
            </w:r>
          </w:p>
        </w:tc>
      </w:tr>
      <w:tr w:rsidR="000D4D8C" w:rsidTr="00FC7CF8">
        <w:trPr>
          <w:trHeight w:val="1298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D8C" w:rsidRDefault="000D4D8C" w:rsidP="00FC7CF8">
            <w:pPr>
              <w:snapToGrid w:val="0"/>
              <w:spacing w:before="200" w:line="288" w:lineRule="auto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Article 7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ab/>
              <w:t>The self-trade, frequent cancellation of orders, cancellation of large-amount orders arising out of the market orders, stop-loss (profit) orders, spread orders, fill or kill ("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FOK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") orders and fill and kill ("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FAK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") orders of the Exchange will not be deemed as abnormal trading behaviors.</w:t>
            </w:r>
          </w:p>
          <w:p w:rsidR="000D4D8C" w:rsidRDefault="000D4D8C" w:rsidP="00FC7CF8">
            <w:pPr>
              <w:snapToGrid w:val="0"/>
              <w:spacing w:before="200" w:line="288" w:lineRule="auto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The frequent cancellation of orders arising out of the contracts with the implementation of order fees will not be deemed as abnormal trading behaviors.</w:t>
            </w:r>
          </w:p>
          <w:p w:rsidR="000D4D8C" w:rsidRDefault="000D4D8C" w:rsidP="00FC7CF8">
            <w:pPr>
              <w:snapToGrid w:val="0"/>
              <w:spacing w:before="200" w:line="288" w:lineRule="auto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The self-trade, frequent cancellation of orders and cancellation of large-amount orders arising out of the hedge trading will not be deemed as abnormal trading behaviors.</w:t>
            </w:r>
          </w:p>
          <w:p w:rsidR="000D4D8C" w:rsidRDefault="000D4D8C" w:rsidP="00FC7CF8">
            <w:pPr>
              <w:snapToGrid w:val="0"/>
              <w:spacing w:before="200" w:line="288" w:lineRule="auto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The frequent cancellation of orders arising out of market making will not be deemed as abnormal trading behaviors.</w:t>
            </w:r>
          </w:p>
        </w:tc>
        <w:tc>
          <w:tcPr>
            <w:tcW w:w="2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D4D8C" w:rsidRDefault="000D4D8C" w:rsidP="00FC7CF8">
            <w:pPr>
              <w:snapToGrid w:val="0"/>
              <w:spacing w:before="200" w:line="288" w:lineRule="auto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b/>
                <w:bCs/>
                <w:color w:val="000000"/>
                <w:sz w:val="24"/>
                <w:szCs w:val="24"/>
              </w:rPr>
              <w:t>Article 7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ab/>
              <w:t>The self-trade, frequent cancellation of orders, cancellation of large-amount orders arising out of the market orders, stop-loss (profit) orders, spread orders</w:t>
            </w:r>
            <w:r>
              <w:rPr>
                <w:rFonts w:ascii="Times New Roman" w:eastAsia="仿宋_GB2312" w:hAnsi="Times New Roman"/>
                <w:dstrike/>
                <w:kern w:val="0"/>
                <w:sz w:val="24"/>
                <w:szCs w:val="24"/>
              </w:rPr>
              <w:t>, fill or kill ("</w:t>
            </w:r>
            <w:r>
              <w:rPr>
                <w:rFonts w:ascii="Times New Roman" w:eastAsia="仿宋_GB2312" w:hAnsi="Times New Roman"/>
                <w:b/>
                <w:bCs/>
                <w:dstrike/>
                <w:kern w:val="0"/>
                <w:sz w:val="24"/>
                <w:szCs w:val="24"/>
              </w:rPr>
              <w:t>FOK</w:t>
            </w:r>
            <w:r>
              <w:rPr>
                <w:rFonts w:ascii="Times New Roman" w:eastAsia="仿宋_GB2312" w:hAnsi="Times New Roman"/>
                <w:dstrike/>
                <w:kern w:val="0"/>
                <w:sz w:val="24"/>
                <w:szCs w:val="24"/>
              </w:rPr>
              <w:t>") orders and fill and kill ("</w:t>
            </w:r>
            <w:r>
              <w:rPr>
                <w:rFonts w:ascii="Times New Roman" w:eastAsia="仿宋_GB2312" w:hAnsi="Times New Roman"/>
                <w:b/>
                <w:bCs/>
                <w:dstrike/>
                <w:kern w:val="0"/>
                <w:sz w:val="24"/>
                <w:szCs w:val="24"/>
              </w:rPr>
              <w:t>FAK</w:t>
            </w:r>
            <w:r>
              <w:rPr>
                <w:rFonts w:ascii="Times New Roman" w:eastAsia="仿宋_GB2312" w:hAnsi="Times New Roman"/>
                <w:dstrike/>
                <w:kern w:val="0"/>
                <w:sz w:val="24"/>
                <w:szCs w:val="24"/>
              </w:rPr>
              <w:t>") orders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 xml:space="preserve"> of the Exchange will not be deemed as abnormal trading behaviors.</w:t>
            </w:r>
          </w:p>
          <w:p w:rsidR="000D4D8C" w:rsidRDefault="000D4D8C" w:rsidP="00FC7CF8">
            <w:pPr>
              <w:snapToGrid w:val="0"/>
              <w:spacing w:before="200" w:line="288" w:lineRule="auto"/>
              <w:rPr>
                <w:rFonts w:ascii="Times New Roman" w:eastAsia="仿宋_GB2312" w:hAnsi="Times New Roman"/>
                <w:dstrike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dstrike/>
                <w:kern w:val="0"/>
                <w:sz w:val="24"/>
                <w:szCs w:val="24"/>
              </w:rPr>
              <w:t>The frequent cancellation of orders arising out of the contracts with the implementation of order fees will not be deemed as abnormal trading behaviors.</w:t>
            </w:r>
          </w:p>
          <w:p w:rsidR="000D4D8C" w:rsidRDefault="000D4D8C" w:rsidP="00FC7CF8">
            <w:pPr>
              <w:snapToGrid w:val="0"/>
              <w:spacing w:before="200" w:line="288" w:lineRule="auto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The self-trade, frequent cancellation of orders and cancellation of large-amount orders arising out of the hedge trading will not be deemed as abnormal trading behaviors.</w:t>
            </w:r>
          </w:p>
          <w:p w:rsidR="000D4D8C" w:rsidRDefault="000D4D8C" w:rsidP="00FC7CF8">
            <w:pPr>
              <w:snapToGrid w:val="0"/>
              <w:spacing w:before="200" w:line="288" w:lineRule="auto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  <w:t>The frequent cancellation of orders arising out of market making will not be deemed as abnormal trading behaviors.</w:t>
            </w:r>
          </w:p>
          <w:p w:rsidR="000D4D8C" w:rsidRDefault="000D4D8C" w:rsidP="00FC7CF8">
            <w:pPr>
              <w:snapToGrid w:val="0"/>
              <w:spacing w:before="200" w:line="288" w:lineRule="auto"/>
              <w:rPr>
                <w:rFonts w:ascii="Times New Roman" w:eastAsia="楷体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  <w:szCs w:val="24"/>
                <w:highlight w:val="lightGray"/>
              </w:rPr>
              <w:t xml:space="preserve">In addition to the above, the frequent cancellation of orders on the contracts with the implementation of order fees </w:t>
            </w:r>
            <w:r>
              <w:rPr>
                <w:rFonts w:ascii="Times New Roman" w:eastAsia="楷体_GB2312" w:hAnsi="Times New Roman" w:hint="eastAsia"/>
                <w:color w:val="000000"/>
                <w:sz w:val="24"/>
                <w:szCs w:val="24"/>
                <w:highlight w:val="lightGray"/>
              </w:rPr>
              <w:t>t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  <w:highlight w:val="lightGray"/>
              </w:rPr>
              <w:t xml:space="preserve">hat complies with the circumstances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published by the Exchange</w:t>
            </w:r>
            <w:r>
              <w:rPr>
                <w:rFonts w:ascii="Times New Roman" w:eastAsia="楷体_GB2312" w:hAnsi="Times New Roman"/>
                <w:color w:val="000000"/>
                <w:sz w:val="24"/>
                <w:szCs w:val="24"/>
                <w:highlight w:val="lightGray"/>
              </w:rPr>
              <w:t xml:space="preserve"> will not be deemed as abnormal trading behaviors.</w:t>
            </w:r>
          </w:p>
        </w:tc>
      </w:tr>
    </w:tbl>
    <w:p w:rsidR="000D4D8C" w:rsidRDefault="000D4D8C" w:rsidP="000D4D8C">
      <w:r>
        <w:rPr>
          <w:rFonts w:hint="eastAsia"/>
        </w:rPr>
        <w:t xml:space="preserve"> </w:t>
      </w:r>
    </w:p>
    <w:p w:rsidR="000D4D8C" w:rsidRPr="00D45FA0" w:rsidRDefault="000D4D8C" w:rsidP="000D4D8C"/>
    <w:p w:rsidR="00D20D2B" w:rsidRPr="000D4D8C" w:rsidRDefault="00D20D2B"/>
    <w:sectPr w:rsidR="00D20D2B" w:rsidRPr="000D4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D8C" w:rsidRDefault="000D4D8C" w:rsidP="000D4D8C">
      <w:r>
        <w:separator/>
      </w:r>
    </w:p>
  </w:endnote>
  <w:endnote w:type="continuationSeparator" w:id="0">
    <w:p w:rsidR="000D4D8C" w:rsidRDefault="000D4D8C" w:rsidP="000D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D8C" w:rsidRDefault="000D4D8C" w:rsidP="000D4D8C">
      <w:r>
        <w:separator/>
      </w:r>
    </w:p>
  </w:footnote>
  <w:footnote w:type="continuationSeparator" w:id="0">
    <w:p w:rsidR="000D4D8C" w:rsidRDefault="000D4D8C" w:rsidP="000D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78"/>
    <w:rsid w:val="000D4D8C"/>
    <w:rsid w:val="00AF1678"/>
    <w:rsid w:val="00D2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8BF7A67-2E7F-46B0-810B-14917E73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8C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4D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D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4D8C"/>
    <w:rPr>
      <w:sz w:val="18"/>
      <w:szCs w:val="18"/>
    </w:rPr>
  </w:style>
  <w:style w:type="paragraph" w:customStyle="1" w:styleId="1">
    <w:name w:val="列出段落1"/>
    <w:basedOn w:val="a"/>
    <w:rsid w:val="000D4D8C"/>
    <w:pPr>
      <w:spacing w:before="100" w:beforeAutospacing="1" w:after="160" w:line="256" w:lineRule="auto"/>
      <w:ind w:firstLineChars="200" w:firstLine="420"/>
    </w:pPr>
    <w:rPr>
      <w:rFonts w:ascii="Calibri" w:eastAsia="宋体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辛悦</dc:creator>
  <cp:keywords/>
  <dc:description/>
  <cp:lastModifiedBy>辛悦</cp:lastModifiedBy>
  <cp:revision>2</cp:revision>
  <dcterms:created xsi:type="dcterms:W3CDTF">2024-07-19T10:47:00Z</dcterms:created>
  <dcterms:modified xsi:type="dcterms:W3CDTF">2024-07-19T10:47:00Z</dcterms:modified>
</cp:coreProperties>
</file>