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5A" w:rsidRPr="0052295A" w:rsidRDefault="0052295A" w:rsidP="0052295A">
      <w:pPr>
        <w:spacing w:before="200" w:line="288" w:lineRule="auto"/>
        <w:jc w:val="left"/>
        <w:outlineLvl w:val="0"/>
        <w:rPr>
          <w:rFonts w:ascii="Times New Roman" w:eastAsia="宋体" w:hAnsi="Times New Roman" w:cs="Calibri"/>
          <w:b/>
          <w:bCs/>
          <w:sz w:val="24"/>
          <w:szCs w:val="24"/>
        </w:rPr>
      </w:pPr>
      <w:r w:rsidRPr="0052295A">
        <w:rPr>
          <w:rFonts w:ascii="Times New Roman" w:eastAsia="宋体" w:hAnsi="Times New Roman" w:cs="Calibri"/>
          <w:b/>
          <w:bCs/>
          <w:sz w:val="24"/>
          <w:szCs w:val="24"/>
        </w:rPr>
        <w:t>A</w:t>
      </w:r>
      <w:r w:rsidRPr="0052295A">
        <w:rPr>
          <w:rFonts w:ascii="Times New Roman" w:eastAsia="宋体" w:hAnsi="Times New Roman" w:cs="Calibri" w:hint="eastAsia"/>
          <w:b/>
          <w:bCs/>
          <w:sz w:val="24"/>
          <w:szCs w:val="24"/>
        </w:rPr>
        <w:t>ttachment</w:t>
      </w:r>
      <w:r w:rsidRPr="0052295A">
        <w:rPr>
          <w:rFonts w:ascii="Times New Roman" w:eastAsia="宋体" w:hAnsi="Times New Roman" w:cs="Calibri"/>
          <w:b/>
          <w:bCs/>
          <w:sz w:val="24"/>
          <w:szCs w:val="24"/>
        </w:rPr>
        <w:t xml:space="preserve"> 1</w:t>
      </w:r>
    </w:p>
    <w:p w:rsidR="0052295A" w:rsidRPr="0052295A" w:rsidRDefault="0052295A" w:rsidP="0052295A">
      <w:pPr>
        <w:spacing w:before="200" w:line="288" w:lineRule="auto"/>
        <w:jc w:val="center"/>
        <w:rPr>
          <w:rFonts w:ascii="Times New Roman" w:eastAsia="宋体" w:hAnsi="Times New Roman" w:cs="Calibri"/>
          <w:b/>
          <w:sz w:val="24"/>
          <w:szCs w:val="24"/>
        </w:rPr>
      </w:pPr>
      <w:bookmarkStart w:id="0" w:name="OLE_LINK1"/>
    </w:p>
    <w:p w:rsidR="0052295A" w:rsidRPr="0052295A" w:rsidRDefault="0052295A" w:rsidP="0052295A">
      <w:pPr>
        <w:spacing w:before="200" w:line="288" w:lineRule="auto"/>
        <w:jc w:val="center"/>
        <w:outlineLvl w:val="1"/>
        <w:rPr>
          <w:rFonts w:ascii="Times New Roman" w:eastAsia="宋体" w:hAnsi="Times New Roman" w:cs="Calibri"/>
          <w:b/>
          <w:sz w:val="24"/>
          <w:szCs w:val="24"/>
        </w:rPr>
      </w:pPr>
      <w:bookmarkStart w:id="1" w:name="_Hlk179893294"/>
      <w:r w:rsidRPr="0052295A">
        <w:rPr>
          <w:rFonts w:ascii="Times New Roman" w:eastAsia="宋体" w:hAnsi="Times New Roman" w:cs="Calibri"/>
          <w:b/>
          <w:sz w:val="24"/>
          <w:szCs w:val="24"/>
        </w:rPr>
        <w:t>Log Future</w:t>
      </w:r>
      <w:r w:rsidRPr="0052295A">
        <w:rPr>
          <w:rFonts w:ascii="Times New Roman" w:eastAsia="宋体" w:hAnsi="Times New Roman" w:cs="Calibri" w:hint="eastAsia"/>
          <w:b/>
          <w:sz w:val="24"/>
          <w:szCs w:val="24"/>
        </w:rPr>
        <w:t>s</w:t>
      </w:r>
      <w:r w:rsidRPr="0052295A">
        <w:rPr>
          <w:rFonts w:ascii="Times New Roman" w:eastAsia="宋体" w:hAnsi="Times New Roman" w:cs="Calibri"/>
          <w:b/>
          <w:sz w:val="24"/>
          <w:szCs w:val="24"/>
        </w:rPr>
        <w:t xml:space="preserve"> Contract</w:t>
      </w:r>
      <w:bookmarkEnd w:id="0"/>
      <w:r w:rsidRPr="0052295A">
        <w:rPr>
          <w:rFonts w:ascii="Times New Roman" w:eastAsia="宋体" w:hAnsi="Times New Roman" w:cs="Calibri"/>
          <w:b/>
          <w:sz w:val="24"/>
          <w:szCs w:val="24"/>
        </w:rPr>
        <w:t xml:space="preserve"> </w:t>
      </w:r>
      <w:r w:rsidRPr="0052295A">
        <w:rPr>
          <w:rFonts w:ascii="Times New Roman" w:eastAsia="宋体" w:hAnsi="Times New Roman" w:cs="Calibri" w:hint="eastAsia"/>
          <w:b/>
          <w:sz w:val="24"/>
          <w:szCs w:val="24"/>
        </w:rPr>
        <w:t xml:space="preserve">of </w:t>
      </w:r>
      <w:r w:rsidRPr="0052295A">
        <w:rPr>
          <w:rFonts w:ascii="Times New Roman" w:eastAsia="宋体" w:hAnsi="Times New Roman" w:cs="Calibri"/>
          <w:b/>
          <w:sz w:val="24"/>
          <w:szCs w:val="24"/>
        </w:rPr>
        <w:t>Dalian Commodity Exchange ("DCE")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08"/>
      </w:tblGrid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Product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Log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Trading Unit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90</w:t>
            </w:r>
            <w:r w:rsidRPr="0052295A">
              <w:rPr>
                <w:rFonts w:ascii="Calibri" w:eastAsia="宋体" w:hAnsi="Calibri" w:cs="Calibri"/>
                <w:sz w:val="24"/>
                <w:szCs w:val="24"/>
              </w:rPr>
              <w:t xml:space="preserve"> 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 xml:space="preserve">s 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/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 xml:space="preserve"> 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Lot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Price Quote Unit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CNY</w:t>
            </w:r>
            <w:r w:rsidRPr="0052295A">
              <w:rPr>
                <w:rFonts w:ascii="Calibri" w:eastAsia="宋体" w:hAnsi="Calibri" w:cs="Calibri"/>
                <w:sz w:val="24"/>
                <w:szCs w:val="24"/>
              </w:rPr>
              <w:t xml:space="preserve"> </w:t>
            </w:r>
            <w:r w:rsidRPr="0052295A">
              <w:rPr>
                <w:rFonts w:ascii="Calibri" w:eastAsia="宋体" w:hAnsi="Calibri" w:cs="Calibri" w:hint="eastAsia"/>
                <w:sz w:val="24"/>
                <w:szCs w:val="24"/>
              </w:rPr>
              <w:t xml:space="preserve">/ 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Cubic Meter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Minimum Tick Size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0.5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 xml:space="preserve"> 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CNY/Cubic Meter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Daily Price Limit Range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4% of 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 xml:space="preserve">last 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settlement price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Contract Month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s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/>
                <w:sz w:val="24"/>
                <w:szCs w:val="24"/>
              </w:rPr>
              <w:t>January, March, May, July, September, November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  <w:vAlign w:val="center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Trading Hours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9:00 - 11:30 a.m., 1:30 - 3:00 p.m., 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 xml:space="preserve">Beijing Time, 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and other trading hours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 xml:space="preserve"> 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announced by DCE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Last Trading Day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The 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last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 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 xml:space="preserve">but three 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trading day of the contract month</w:t>
            </w:r>
          </w:p>
        </w:tc>
      </w:tr>
      <w:tr w:rsidR="0052295A" w:rsidRPr="0052295A" w:rsidTr="00864FCF">
        <w:trPr>
          <w:trHeight w:val="819"/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Last 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Delivery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 Day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The 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3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  <w:vertAlign w:val="superscript"/>
              </w:rPr>
              <w:t>rd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 xml:space="preserve"> 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trading day after the last trading day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Deliver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able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 Grade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s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Log Delivery Quality Standard of 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DCE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 (F/DCE LG001-2024)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D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elivery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 xml:space="preserve"> Point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The delivery warehouses and FOT delivery sites of 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log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 designated by DCE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Minimum Trading Margin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5% of 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 xml:space="preserve">the 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contract value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Delivery Form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Physical delivery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Ticker Symbol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LG</w:t>
            </w:r>
          </w:p>
        </w:tc>
      </w:tr>
      <w:tr w:rsidR="0052295A" w:rsidRPr="0052295A" w:rsidTr="00864FCF">
        <w:trPr>
          <w:jc w:val="center"/>
        </w:trPr>
        <w:tc>
          <w:tcPr>
            <w:tcW w:w="3114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 xml:space="preserve">Listed </w:t>
            </w: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E</w:t>
            </w:r>
            <w:r w:rsidRPr="0052295A">
              <w:rPr>
                <w:rFonts w:ascii="Times New Roman" w:eastAsia="宋体" w:hAnsi="Times New Roman" w:cs="Calibri"/>
                <w:sz w:val="24"/>
                <w:szCs w:val="24"/>
              </w:rPr>
              <w:t>xchange</w:t>
            </w:r>
          </w:p>
        </w:tc>
        <w:tc>
          <w:tcPr>
            <w:tcW w:w="6208" w:type="dxa"/>
          </w:tcPr>
          <w:p w:rsidR="0052295A" w:rsidRPr="0052295A" w:rsidRDefault="0052295A" w:rsidP="0052295A">
            <w:pPr>
              <w:spacing w:before="200" w:line="288" w:lineRule="auto"/>
              <w:jc w:val="center"/>
              <w:rPr>
                <w:rFonts w:ascii="Times New Roman" w:eastAsia="宋体" w:hAnsi="Times New Roman" w:cs="Calibri"/>
                <w:sz w:val="24"/>
                <w:szCs w:val="24"/>
              </w:rPr>
            </w:pPr>
            <w:r w:rsidRPr="0052295A">
              <w:rPr>
                <w:rFonts w:ascii="Times New Roman" w:eastAsia="宋体" w:hAnsi="Times New Roman" w:cs="Calibri" w:hint="eastAsia"/>
                <w:sz w:val="24"/>
                <w:szCs w:val="24"/>
              </w:rPr>
              <w:t>DCE</w:t>
            </w:r>
          </w:p>
        </w:tc>
      </w:tr>
    </w:tbl>
    <w:p w:rsidR="00697612" w:rsidRDefault="00697612">
      <w:bookmarkStart w:id="2" w:name="_GoBack"/>
      <w:bookmarkEnd w:id="1"/>
      <w:bookmarkEnd w:id="2"/>
    </w:p>
    <w:sectPr w:rsidR="00697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5A" w:rsidRDefault="0052295A" w:rsidP="0052295A">
      <w:r>
        <w:separator/>
      </w:r>
    </w:p>
  </w:endnote>
  <w:endnote w:type="continuationSeparator" w:id="0">
    <w:p w:rsidR="0052295A" w:rsidRDefault="0052295A" w:rsidP="0052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5A" w:rsidRDefault="0052295A" w:rsidP="0052295A">
      <w:r>
        <w:separator/>
      </w:r>
    </w:p>
  </w:footnote>
  <w:footnote w:type="continuationSeparator" w:id="0">
    <w:p w:rsidR="0052295A" w:rsidRDefault="0052295A" w:rsidP="0052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E6"/>
    <w:rsid w:val="002168EB"/>
    <w:rsid w:val="0052295A"/>
    <w:rsid w:val="00697612"/>
    <w:rsid w:val="0078133A"/>
    <w:rsid w:val="00B6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59E8"/>
  <w15:chartTrackingRefBased/>
  <w15:docId w15:val="{CF702DC3-C09A-4BAB-AA46-D12B0F2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3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78133A"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">
    <w:name w:val="div"/>
    <w:basedOn w:val="a"/>
    <w:qFormat/>
    <w:rsid w:val="0078133A"/>
    <w:pPr>
      <w:textAlignment w:val="baseline"/>
    </w:pPr>
    <w:rPr>
      <w:sz w:val="24"/>
      <w:szCs w:val="24"/>
    </w:rPr>
  </w:style>
  <w:style w:type="character" w:customStyle="1" w:styleId="fulltext-wrapnavtiao">
    <w:name w:val="fulltext-wrap_navtiao"/>
    <w:qFormat/>
    <w:rsid w:val="0078133A"/>
    <w:rPr>
      <w:b/>
      <w:bCs/>
    </w:rPr>
  </w:style>
  <w:style w:type="paragraph" w:customStyle="1" w:styleId="fulltext-wraptitle">
    <w:name w:val="fulltext-wrap_title"/>
    <w:basedOn w:val="a"/>
    <w:qFormat/>
    <w:rsid w:val="0078133A"/>
    <w:pPr>
      <w:jc w:val="center"/>
    </w:pPr>
    <w:rPr>
      <w:sz w:val="30"/>
      <w:szCs w:val="30"/>
    </w:rPr>
  </w:style>
  <w:style w:type="character" w:customStyle="1" w:styleId="fulltext-wrapfulltexta">
    <w:name w:val="fulltext-wrap_fulltext_a"/>
    <w:qFormat/>
    <w:rsid w:val="0078133A"/>
    <w:rPr>
      <w:color w:val="218FC4"/>
    </w:rPr>
  </w:style>
  <w:style w:type="character" w:customStyle="1" w:styleId="20">
    <w:name w:val="标题 2 字符"/>
    <w:basedOn w:val="a0"/>
    <w:link w:val="2"/>
    <w:uiPriority w:val="9"/>
    <w:rsid w:val="0078133A"/>
    <w:rPr>
      <w:rFonts w:ascii="宋体" w:hAnsi="宋体"/>
      <w:b/>
      <w:sz w:val="36"/>
      <w:szCs w:val="36"/>
    </w:rPr>
  </w:style>
  <w:style w:type="paragraph" w:styleId="a3">
    <w:name w:val="annotation text"/>
    <w:basedOn w:val="a"/>
    <w:link w:val="a4"/>
    <w:uiPriority w:val="99"/>
    <w:unhideWhenUsed/>
    <w:qFormat/>
    <w:rsid w:val="0078133A"/>
    <w:pPr>
      <w:jc w:val="left"/>
    </w:pPr>
    <w:rPr>
      <w:rFonts w:ascii="Times New Roman" w:eastAsia="宋体" w:hAnsi="Times New Roman"/>
      <w:kern w:val="0"/>
      <w:sz w:val="20"/>
      <w:szCs w:val="20"/>
    </w:rPr>
  </w:style>
  <w:style w:type="character" w:customStyle="1" w:styleId="a4">
    <w:name w:val="批注文字 字符"/>
    <w:link w:val="a3"/>
    <w:uiPriority w:val="99"/>
    <w:qFormat/>
    <w:rsid w:val="0078133A"/>
  </w:style>
  <w:style w:type="paragraph" w:styleId="a5">
    <w:name w:val="header"/>
    <w:basedOn w:val="a"/>
    <w:link w:val="a6"/>
    <w:uiPriority w:val="99"/>
    <w:unhideWhenUsed/>
    <w:qFormat/>
    <w:rsid w:val="00781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qFormat/>
    <w:rsid w:val="007813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8133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a8">
    <w:name w:val="页脚 字符"/>
    <w:link w:val="a7"/>
    <w:uiPriority w:val="99"/>
    <w:qFormat/>
    <w:rsid w:val="0078133A"/>
    <w:rPr>
      <w:sz w:val="18"/>
      <w:szCs w:val="18"/>
    </w:rPr>
  </w:style>
  <w:style w:type="character" w:styleId="a9">
    <w:name w:val="annotation reference"/>
    <w:uiPriority w:val="99"/>
    <w:unhideWhenUsed/>
    <w:qFormat/>
    <w:rsid w:val="0078133A"/>
    <w:rPr>
      <w:sz w:val="21"/>
      <w:szCs w:val="21"/>
    </w:rPr>
  </w:style>
  <w:style w:type="character" w:styleId="aa">
    <w:name w:val="Hyperlink"/>
    <w:uiPriority w:val="99"/>
    <w:unhideWhenUsed/>
    <w:qFormat/>
    <w:rsid w:val="0078133A"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rsid w:val="0078133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qFormat/>
    <w:rsid w:val="00781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78133A"/>
    <w:rPr>
      <w:rFonts w:ascii="宋体" w:hAnsi="宋体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sid w:val="0078133A"/>
    <w:rPr>
      <w:b/>
      <w:bCs/>
    </w:rPr>
  </w:style>
  <w:style w:type="character" w:customStyle="1" w:styleId="ad">
    <w:name w:val="批注主题 字符"/>
    <w:link w:val="ac"/>
    <w:uiPriority w:val="99"/>
    <w:qFormat/>
    <w:rsid w:val="0078133A"/>
    <w:rPr>
      <w:b/>
      <w:bCs/>
    </w:rPr>
  </w:style>
  <w:style w:type="paragraph" w:styleId="ae">
    <w:name w:val="Balloon Text"/>
    <w:basedOn w:val="a"/>
    <w:link w:val="af"/>
    <w:uiPriority w:val="99"/>
    <w:unhideWhenUsed/>
    <w:qFormat/>
    <w:rsid w:val="0078133A"/>
    <w:rPr>
      <w:rFonts w:ascii="Times New Roman" w:eastAsia="宋体" w:hAnsi="Times New Roman"/>
      <w:kern w:val="0"/>
      <w:sz w:val="18"/>
      <w:szCs w:val="18"/>
    </w:rPr>
  </w:style>
  <w:style w:type="character" w:customStyle="1" w:styleId="af">
    <w:name w:val="批注框文本 字符"/>
    <w:link w:val="ae"/>
    <w:uiPriority w:val="99"/>
    <w:qFormat/>
    <w:rsid w:val="00781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2024-10-25T09:03:00Z</dcterms:created>
  <dcterms:modified xsi:type="dcterms:W3CDTF">2024-10-25T09:03:00Z</dcterms:modified>
</cp:coreProperties>
</file>