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C7" w:rsidRDefault="009E67C7" w:rsidP="009E67C7">
      <w:pPr>
        <w:adjustRightInd w:val="0"/>
        <w:snapToGrid w:val="0"/>
        <w:spacing w:before="200" w:line="288" w:lineRule="auto"/>
        <w:outlineLvl w:val="0"/>
        <w:rPr>
          <w:rFonts w:ascii="Times New Roman" w:hAnsi="Times New Roman"/>
          <w:b/>
          <w:bCs/>
          <w:sz w:val="24"/>
          <w:szCs w:val="24"/>
        </w:rPr>
      </w:pPr>
      <w:r>
        <w:rPr>
          <w:rFonts w:ascii="Times New Roman" w:hAnsi="Times New Roman" w:hint="eastAsia"/>
          <w:b/>
          <w:bCs/>
          <w:sz w:val="24"/>
          <w:szCs w:val="24"/>
        </w:rPr>
        <w:t>Attachment 7</w:t>
      </w:r>
    </w:p>
    <w:p w:rsidR="009E67C7" w:rsidRDefault="009E67C7" w:rsidP="009E67C7">
      <w:pPr>
        <w:adjustRightInd w:val="0"/>
        <w:snapToGrid w:val="0"/>
        <w:spacing w:before="200" w:line="288" w:lineRule="auto"/>
        <w:jc w:val="center"/>
        <w:rPr>
          <w:rFonts w:ascii="Times New Roman" w:hAnsi="Times New Roman"/>
          <w:b/>
          <w:bCs/>
          <w:sz w:val="24"/>
          <w:szCs w:val="24"/>
        </w:rPr>
      </w:pPr>
    </w:p>
    <w:p w:rsidR="009E67C7" w:rsidRDefault="009E67C7" w:rsidP="009E67C7">
      <w:pPr>
        <w:adjustRightInd w:val="0"/>
        <w:snapToGrid w:val="0"/>
        <w:spacing w:before="200" w:line="288" w:lineRule="auto"/>
        <w:jc w:val="center"/>
        <w:rPr>
          <w:rFonts w:ascii="Times New Roman" w:hAnsi="Times New Roman"/>
          <w:b/>
          <w:bCs/>
          <w:sz w:val="24"/>
          <w:szCs w:val="24"/>
        </w:rPr>
      </w:pPr>
      <w:r>
        <w:rPr>
          <w:rFonts w:ascii="Times New Roman" w:hAnsi="Times New Roman"/>
          <w:b/>
          <w:bCs/>
          <w:sz w:val="24"/>
          <w:szCs w:val="24"/>
        </w:rPr>
        <w:t>Comparison Table of the Amendments to the Relevant Rules</w:t>
      </w:r>
    </w:p>
    <w:p w:rsidR="009E67C7" w:rsidRDefault="009E67C7" w:rsidP="009E67C7">
      <w:pPr>
        <w:adjustRightInd w:val="0"/>
        <w:snapToGrid w:val="0"/>
        <w:spacing w:before="200" w:line="288" w:lineRule="auto"/>
        <w:jc w:val="center"/>
        <w:rPr>
          <w:rFonts w:ascii="Times New Roman" w:hAnsi="Times New Roman"/>
          <w:b/>
          <w:bCs/>
          <w:sz w:val="24"/>
          <w:szCs w:val="24"/>
        </w:rPr>
      </w:pPr>
    </w:p>
    <w:p w:rsidR="009E67C7" w:rsidRDefault="009E67C7" w:rsidP="009E67C7">
      <w:pPr>
        <w:adjustRightInd w:val="0"/>
        <w:snapToGrid w:val="0"/>
        <w:spacing w:before="200" w:line="288" w:lineRule="auto"/>
        <w:jc w:val="center"/>
        <w:outlineLvl w:val="1"/>
        <w:rPr>
          <w:rFonts w:ascii="Times New Roman" w:hAnsi="Times New Roman" w:cs="Times New Roman"/>
          <w:b/>
          <w:sz w:val="24"/>
          <w:szCs w:val="24"/>
        </w:rPr>
      </w:pPr>
      <w:r>
        <w:rPr>
          <w:rFonts w:ascii="Times New Roman" w:hAnsi="Times New Roman" w:hint="eastAsia"/>
          <w:b/>
          <w:bCs/>
          <w:sz w:val="24"/>
          <w:szCs w:val="24"/>
        </w:rPr>
        <w:t xml:space="preserve">1. </w:t>
      </w:r>
      <w:r>
        <w:rPr>
          <w:rFonts w:ascii="Times New Roman" w:eastAsia="仿宋_GB2312" w:hAnsi="Times New Roman"/>
          <w:b/>
          <w:sz w:val="24"/>
          <w:szCs w:val="24"/>
        </w:rPr>
        <w:t xml:space="preserve">Comparison Table of the Amendments to the </w:t>
      </w:r>
      <w:r>
        <w:rPr>
          <w:rFonts w:ascii="Times New Roman" w:hAnsi="Times New Roman"/>
          <w:b/>
          <w:bCs/>
          <w:sz w:val="24"/>
          <w:szCs w:val="24"/>
        </w:rPr>
        <w:t xml:space="preserve">Measures for </w:t>
      </w:r>
      <w:r>
        <w:rPr>
          <w:rFonts w:ascii="Times New Roman" w:hAnsi="Times New Roman" w:hint="eastAsia"/>
          <w:b/>
          <w:bCs/>
          <w:sz w:val="24"/>
          <w:szCs w:val="24"/>
        </w:rPr>
        <w:t>Clearing</w:t>
      </w:r>
      <w:r>
        <w:rPr>
          <w:rFonts w:ascii="Times New Roman" w:hAnsi="Times New Roman"/>
          <w:b/>
          <w:bCs/>
          <w:sz w:val="24"/>
          <w:szCs w:val="24"/>
        </w:rPr>
        <w:t xml:space="preserve"> Management of Dalian Commodity</w:t>
      </w:r>
    </w:p>
    <w:p w:rsidR="009E67C7" w:rsidRDefault="009E67C7" w:rsidP="009E67C7">
      <w:pPr>
        <w:jc w:val="center"/>
        <w:rPr>
          <w:rFonts w:ascii="Times New Roman" w:eastAsia="楷体_GB2312" w:hAnsi="Times New Roman"/>
          <w:color w:val="000000"/>
          <w:sz w:val="24"/>
          <w:szCs w:val="24"/>
        </w:rPr>
      </w:pPr>
      <w:r>
        <w:rPr>
          <w:rFonts w:ascii="Times New Roman" w:eastAsia="楷体_GB2312" w:hAnsi="Times New Roman"/>
          <w:color w:val="000000"/>
          <w:sz w:val="24"/>
          <w:szCs w:val="24"/>
        </w:rPr>
        <w:t>(Contents newly added are in shade</w:t>
      </w:r>
      <w:r>
        <w:rPr>
          <w:rFonts w:ascii="Times New Roman" w:eastAsia="楷体_GB2312" w:hAnsi="Times New Roman" w:hint="eastAsia"/>
          <w:color w:val="000000"/>
          <w:sz w:val="24"/>
          <w:szCs w:val="24"/>
        </w:rPr>
        <w:t xml:space="preserve">; </w:t>
      </w:r>
      <w:r>
        <w:rPr>
          <w:rFonts w:ascii="Times New Roman" w:eastAsia="楷体_GB2312" w:hAnsi="Times New Roman"/>
          <w:color w:val="000000"/>
          <w:sz w:val="24"/>
          <w:szCs w:val="24"/>
        </w:rPr>
        <w:t>contents deleted are marked with double strikethrough; and clauses unchanged are represented by ellipsis.)</w:t>
      </w:r>
    </w:p>
    <w:tbl>
      <w:tblPr>
        <w:tblW w:w="495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2" w:type="dxa"/>
          <w:right w:w="142" w:type="dxa"/>
        </w:tblCellMar>
        <w:tblLook w:val="04A0" w:firstRow="1" w:lastRow="0" w:firstColumn="1" w:lastColumn="0" w:noHBand="0" w:noVBand="1"/>
      </w:tblPr>
      <w:tblGrid>
        <w:gridCol w:w="4316"/>
        <w:gridCol w:w="4317"/>
      </w:tblGrid>
      <w:tr w:rsidR="009E67C7" w:rsidTr="00864FCF">
        <w:tc>
          <w:tcPr>
            <w:tcW w:w="2500" w:type="pct"/>
            <w:tcBorders>
              <w:top w:val="single" w:sz="4" w:space="0" w:color="000000"/>
              <w:left w:val="single" w:sz="4" w:space="0" w:color="000000"/>
              <w:bottom w:val="single" w:sz="4" w:space="0" w:color="000000"/>
              <w:right w:val="single" w:sz="4" w:space="0" w:color="000000"/>
            </w:tcBorders>
          </w:tcPr>
          <w:p w:rsidR="009E67C7" w:rsidRDefault="009E67C7" w:rsidP="00864FCF">
            <w:pPr>
              <w:snapToGrid w:val="0"/>
              <w:spacing w:before="200" w:line="288" w:lineRule="auto"/>
              <w:jc w:val="center"/>
              <w:rPr>
                <w:rFonts w:ascii="Times New Roman" w:eastAsia="仿宋_GB2312" w:hAnsi="Times New Roman" w:cs="Times New Roman"/>
                <w:b/>
                <w:bCs/>
                <w:sz w:val="24"/>
                <w:szCs w:val="24"/>
              </w:rPr>
            </w:pPr>
            <w:r>
              <w:rPr>
                <w:rFonts w:ascii="Times New Roman" w:eastAsia="仿宋_GB2312" w:hAnsi="Times New Roman"/>
                <w:b/>
                <w:bCs/>
                <w:sz w:val="24"/>
                <w:szCs w:val="24"/>
              </w:rPr>
              <w:t>Original Articles</w:t>
            </w:r>
          </w:p>
        </w:tc>
        <w:tc>
          <w:tcPr>
            <w:tcW w:w="2500" w:type="pct"/>
            <w:tcBorders>
              <w:top w:val="single" w:sz="4" w:space="0" w:color="000000"/>
              <w:left w:val="single" w:sz="4" w:space="0" w:color="000000"/>
              <w:bottom w:val="single" w:sz="4" w:space="0" w:color="000000"/>
              <w:right w:val="single" w:sz="4" w:space="0" w:color="000000"/>
            </w:tcBorders>
          </w:tcPr>
          <w:p w:rsidR="009E67C7" w:rsidRDefault="009E67C7" w:rsidP="00864FCF">
            <w:pPr>
              <w:snapToGrid w:val="0"/>
              <w:spacing w:before="200" w:line="288" w:lineRule="auto"/>
              <w:jc w:val="center"/>
              <w:rPr>
                <w:rFonts w:ascii="Times New Roman" w:eastAsia="仿宋_GB2312" w:hAnsi="Times New Roman"/>
                <w:b/>
                <w:bCs/>
                <w:sz w:val="24"/>
                <w:szCs w:val="24"/>
              </w:rPr>
            </w:pPr>
            <w:r>
              <w:rPr>
                <w:rFonts w:ascii="Times New Roman" w:eastAsia="仿宋_GB2312" w:hAnsi="Times New Roman"/>
                <w:b/>
                <w:bCs/>
                <w:sz w:val="24"/>
                <w:szCs w:val="24"/>
              </w:rPr>
              <w:t>Amended Articles</w:t>
            </w:r>
          </w:p>
        </w:tc>
      </w:tr>
      <w:tr w:rsidR="009E67C7" w:rsidTr="00864FCF">
        <w:tc>
          <w:tcPr>
            <w:tcW w:w="2500" w:type="pct"/>
            <w:tcBorders>
              <w:top w:val="single" w:sz="4" w:space="0" w:color="000000"/>
              <w:left w:val="single" w:sz="4" w:space="0" w:color="000000"/>
              <w:bottom w:val="single" w:sz="4" w:space="0" w:color="000000"/>
              <w:right w:val="single" w:sz="4" w:space="0" w:color="000000"/>
            </w:tcBorders>
          </w:tcPr>
          <w:p w:rsidR="009E67C7" w:rsidRDefault="009E67C7" w:rsidP="00864FCF">
            <w:pPr>
              <w:snapToGrid w:val="0"/>
              <w:spacing w:before="200" w:line="288" w:lineRule="auto"/>
              <w:rPr>
                <w:rFonts w:ascii="Times New Roman" w:eastAsia="仿宋_GB2312" w:hAnsi="Times New Roman"/>
                <w:sz w:val="24"/>
                <w:szCs w:val="24"/>
              </w:rPr>
            </w:pPr>
            <w:r>
              <w:rPr>
                <w:rFonts w:ascii="Times New Roman" w:eastAsia="仿宋_GB2312" w:hAnsi="Times New Roman"/>
                <w:b/>
                <w:bCs/>
                <w:sz w:val="24"/>
                <w:szCs w:val="24"/>
              </w:rPr>
              <w:t>Article 60</w:t>
            </w:r>
            <w:r>
              <w:rPr>
                <w:rFonts w:ascii="Times New Roman" w:eastAsia="仿宋_GB2312" w:hAnsi="Times New Roman"/>
                <w:b/>
                <w:bCs/>
                <w:sz w:val="24"/>
                <w:szCs w:val="24"/>
              </w:rPr>
              <w:tab/>
            </w:r>
            <w:r>
              <w:rPr>
                <w:rFonts w:ascii="Times New Roman" w:eastAsia="仿宋_GB2312" w:hAnsi="Times New Roman"/>
                <w:sz w:val="24"/>
                <w:szCs w:val="24"/>
              </w:rPr>
              <w:t xml:space="preserve">The delivery settlement price shall be the benchmark price for the delivery settlement of the futures contract. The delivery settlement price of the rolling delivery shall be the then-current day settlement price of the rolling delivery matching day of the futures contract. The delivery settlement price of the one-off delivery shall be the weighted average price of all the trade prices from the first trading day of the delivery month through the last trading day thereof with respect to the futures contract. Where the detailed rules of eggs, ethylene glycol, </w:t>
            </w:r>
            <w:proofErr w:type="spellStart"/>
            <w:r>
              <w:rPr>
                <w:rFonts w:ascii="Times New Roman" w:eastAsia="仿宋_GB2312" w:hAnsi="Times New Roman"/>
                <w:sz w:val="24"/>
                <w:szCs w:val="24"/>
              </w:rPr>
              <w:t>ethenylbenzene</w:t>
            </w:r>
            <w:proofErr w:type="spellEnd"/>
            <w:r>
              <w:rPr>
                <w:rFonts w:ascii="Times New Roman" w:eastAsia="仿宋_GB2312" w:hAnsi="Times New Roman"/>
                <w:sz w:val="24"/>
                <w:szCs w:val="24"/>
              </w:rPr>
              <w:t xml:space="preserve">, liquefied petroleum gas, live hog or other futures products stipulate otherwise in respect of the delivery settlement price of one-off delivery, such stipulation shall prevail. The delivery settlement price of the bill of lading delivery shall be the then-current day settlement price of the bill of lading delivery matching day of the futures contract. The delivery settlement price of the daily selective delivery shall be the then-current day settlement price of the </w:t>
            </w:r>
            <w:r>
              <w:rPr>
                <w:rFonts w:ascii="Times New Roman" w:eastAsia="仿宋_GB2312" w:hAnsi="Times New Roman"/>
                <w:sz w:val="24"/>
                <w:szCs w:val="24"/>
              </w:rPr>
              <w:lastRenderedPageBreak/>
              <w:t>daily selective delivery matching day of the futures contract.</w:t>
            </w:r>
          </w:p>
          <w:p w:rsidR="009E67C7" w:rsidRDefault="009E67C7" w:rsidP="00864FCF">
            <w:pPr>
              <w:snapToGrid w:val="0"/>
              <w:spacing w:before="200" w:line="288" w:lineRule="auto"/>
              <w:rPr>
                <w:rFonts w:ascii="Times New Roman" w:eastAsia="仿宋_GB2312" w:hAnsi="Times New Roman"/>
                <w:sz w:val="24"/>
                <w:szCs w:val="24"/>
              </w:rPr>
            </w:pPr>
            <w:r>
              <w:rPr>
                <w:rFonts w:ascii="Times New Roman" w:eastAsia="仿宋_GB2312" w:hAnsi="Times New Roman"/>
                <w:sz w:val="24"/>
                <w:szCs w:val="24"/>
              </w:rPr>
              <w:t>……</w:t>
            </w:r>
          </w:p>
        </w:tc>
        <w:tc>
          <w:tcPr>
            <w:tcW w:w="2500" w:type="pct"/>
            <w:tcBorders>
              <w:top w:val="single" w:sz="4" w:space="0" w:color="000000"/>
              <w:left w:val="single" w:sz="4" w:space="0" w:color="000000"/>
              <w:bottom w:val="single" w:sz="4" w:space="0" w:color="000000"/>
              <w:right w:val="single" w:sz="4" w:space="0" w:color="000000"/>
            </w:tcBorders>
          </w:tcPr>
          <w:p w:rsidR="009E67C7" w:rsidRDefault="009E67C7" w:rsidP="00864FCF">
            <w:pPr>
              <w:snapToGrid w:val="0"/>
              <w:spacing w:before="200" w:line="288" w:lineRule="auto"/>
              <w:rPr>
                <w:rFonts w:ascii="Times New Roman" w:eastAsia="仿宋_GB2312" w:hAnsi="Times New Roman"/>
                <w:sz w:val="24"/>
                <w:szCs w:val="24"/>
              </w:rPr>
            </w:pPr>
            <w:r>
              <w:rPr>
                <w:rFonts w:ascii="Times New Roman" w:eastAsia="仿宋_GB2312" w:hAnsi="Times New Roman"/>
                <w:b/>
                <w:bCs/>
                <w:sz w:val="24"/>
                <w:szCs w:val="24"/>
              </w:rPr>
              <w:lastRenderedPageBreak/>
              <w:t>Article 60</w:t>
            </w:r>
            <w:r>
              <w:rPr>
                <w:rFonts w:ascii="Times New Roman" w:eastAsia="仿宋_GB2312" w:hAnsi="Times New Roman"/>
                <w:b/>
                <w:bCs/>
                <w:sz w:val="24"/>
                <w:szCs w:val="24"/>
              </w:rPr>
              <w:tab/>
            </w:r>
            <w:r>
              <w:rPr>
                <w:rFonts w:ascii="Times New Roman" w:eastAsia="仿宋_GB2312" w:hAnsi="Times New Roman"/>
                <w:sz w:val="24"/>
                <w:szCs w:val="24"/>
              </w:rPr>
              <w:t xml:space="preserve">The delivery settlement price shall be the benchmark price for the delivery settlement of the futures contract. The delivery settlement price of the rolling delivery shall be the then-current day settlement price of the rolling delivery matching day of the futures contract. The delivery settlement price of the one-off delivery shall be the weighted average price of all the trade prices from the first trading day of the delivery month through the last trading day thereof with respect to the futures contract. Where the detailed rules of eggs, ethylene glycol, </w:t>
            </w:r>
            <w:proofErr w:type="spellStart"/>
            <w:r>
              <w:rPr>
                <w:rFonts w:ascii="Times New Roman" w:eastAsia="仿宋_GB2312" w:hAnsi="Times New Roman"/>
                <w:sz w:val="24"/>
                <w:szCs w:val="24"/>
              </w:rPr>
              <w:t>ethenylbenzene</w:t>
            </w:r>
            <w:proofErr w:type="spellEnd"/>
            <w:r>
              <w:rPr>
                <w:rFonts w:ascii="Times New Roman" w:eastAsia="仿宋_GB2312" w:hAnsi="Times New Roman"/>
                <w:sz w:val="24"/>
                <w:szCs w:val="24"/>
              </w:rPr>
              <w:t>, liquefied petroleum gas, live hog</w:t>
            </w:r>
            <w:r>
              <w:rPr>
                <w:rFonts w:ascii="Times New Roman" w:eastAsia="仿宋_GB2312" w:hAnsi="Times New Roman" w:hint="eastAsia"/>
                <w:sz w:val="24"/>
                <w:szCs w:val="24"/>
                <w:highlight w:val="lightGray"/>
              </w:rPr>
              <w:t>, log</w:t>
            </w:r>
            <w:r>
              <w:rPr>
                <w:rFonts w:ascii="Times New Roman" w:eastAsia="仿宋_GB2312" w:hAnsi="Times New Roman"/>
                <w:sz w:val="24"/>
                <w:szCs w:val="24"/>
              </w:rPr>
              <w:t xml:space="preserve"> or other futures products stipulate otherwise in respect of the delivery settlement price of one-off delivery, such stipulation shall prevail. The delivery settlement price of the bill of lading delivery shall be the then-current day settlement price of the bill of lading delivery matching day of the futures contract. The delivery settlement price of the daily selective delivery shall be the then-current day settlement price of the </w:t>
            </w:r>
            <w:r>
              <w:rPr>
                <w:rFonts w:ascii="Times New Roman" w:eastAsia="仿宋_GB2312" w:hAnsi="Times New Roman"/>
                <w:sz w:val="24"/>
                <w:szCs w:val="24"/>
              </w:rPr>
              <w:lastRenderedPageBreak/>
              <w:t>daily selective delivery matching day of the futures contract.</w:t>
            </w:r>
          </w:p>
          <w:p w:rsidR="009E67C7" w:rsidRDefault="009E67C7" w:rsidP="00864FCF">
            <w:pPr>
              <w:snapToGrid w:val="0"/>
              <w:spacing w:before="200" w:line="288" w:lineRule="auto"/>
              <w:rPr>
                <w:rFonts w:ascii="Times New Roman" w:eastAsia="仿宋_GB2312" w:hAnsi="Times New Roman"/>
                <w:b/>
                <w:bCs/>
                <w:sz w:val="24"/>
                <w:szCs w:val="24"/>
              </w:rPr>
            </w:pPr>
            <w:r>
              <w:rPr>
                <w:rFonts w:ascii="Times New Roman" w:eastAsia="仿宋_GB2312" w:hAnsi="Times New Roman"/>
                <w:sz w:val="24"/>
                <w:szCs w:val="24"/>
              </w:rPr>
              <w:t>……</w:t>
            </w:r>
          </w:p>
        </w:tc>
      </w:tr>
      <w:tr w:rsidR="009E67C7" w:rsidTr="00864FCF">
        <w:tc>
          <w:tcPr>
            <w:tcW w:w="2500" w:type="pct"/>
            <w:tcBorders>
              <w:top w:val="single" w:sz="4" w:space="0" w:color="000000"/>
              <w:left w:val="single" w:sz="4" w:space="0" w:color="000000"/>
              <w:bottom w:val="single" w:sz="4" w:space="0" w:color="000000"/>
              <w:right w:val="single" w:sz="4" w:space="0" w:color="000000"/>
            </w:tcBorders>
          </w:tcPr>
          <w:p w:rsidR="009E67C7" w:rsidRDefault="009E67C7" w:rsidP="00864FCF">
            <w:pPr>
              <w:snapToGrid w:val="0"/>
              <w:spacing w:before="200" w:line="288" w:lineRule="auto"/>
              <w:rPr>
                <w:rFonts w:ascii="Times New Roman" w:eastAsia="仿宋_GB2312" w:hAnsi="Times New Roman"/>
                <w:sz w:val="24"/>
                <w:szCs w:val="24"/>
              </w:rPr>
            </w:pPr>
            <w:r>
              <w:rPr>
                <w:rFonts w:ascii="Times New Roman" w:eastAsia="仿宋_GB2312" w:hAnsi="Times New Roman"/>
                <w:b/>
                <w:bCs/>
                <w:sz w:val="24"/>
                <w:szCs w:val="24"/>
              </w:rPr>
              <w:lastRenderedPageBreak/>
              <w:t>Article 61</w:t>
            </w:r>
            <w:r>
              <w:rPr>
                <w:rFonts w:ascii="Times New Roman" w:eastAsia="仿宋_GB2312" w:hAnsi="Times New Roman"/>
                <w:b/>
                <w:bCs/>
                <w:sz w:val="24"/>
                <w:szCs w:val="24"/>
              </w:rPr>
              <w:tab/>
            </w:r>
            <w:r>
              <w:rPr>
                <w:rFonts w:ascii="Times New Roman" w:eastAsia="仿宋_GB2312" w:hAnsi="Times New Roman"/>
                <w:sz w:val="24"/>
                <w:szCs w:val="24"/>
              </w:rPr>
              <w:t>The delivery payments shall be settled as per the delivery settlement price plus premiums or discounts in respect of the benchmark delivery warehouses and non-benchmark delivery warehouses. Where the Exchange has other provisions, such provisions shall apply.</w:t>
            </w:r>
          </w:p>
        </w:tc>
        <w:tc>
          <w:tcPr>
            <w:tcW w:w="2500" w:type="pct"/>
            <w:tcBorders>
              <w:top w:val="single" w:sz="4" w:space="0" w:color="000000"/>
              <w:left w:val="single" w:sz="4" w:space="0" w:color="000000"/>
              <w:bottom w:val="single" w:sz="4" w:space="0" w:color="000000"/>
              <w:right w:val="single" w:sz="4" w:space="0" w:color="000000"/>
            </w:tcBorders>
          </w:tcPr>
          <w:p w:rsidR="009E67C7" w:rsidRDefault="009E67C7" w:rsidP="00864FCF">
            <w:pPr>
              <w:snapToGrid w:val="0"/>
              <w:spacing w:before="200" w:line="288" w:lineRule="auto"/>
              <w:rPr>
                <w:rFonts w:ascii="Times New Roman" w:eastAsia="仿宋_GB2312" w:hAnsi="Times New Roman"/>
                <w:b/>
                <w:bCs/>
                <w:sz w:val="24"/>
                <w:szCs w:val="24"/>
              </w:rPr>
            </w:pPr>
            <w:r>
              <w:rPr>
                <w:rFonts w:ascii="Times New Roman" w:eastAsia="仿宋_GB2312" w:hAnsi="Times New Roman"/>
                <w:b/>
                <w:bCs/>
                <w:sz w:val="24"/>
                <w:szCs w:val="24"/>
              </w:rPr>
              <w:t>Article 61</w:t>
            </w:r>
            <w:r>
              <w:rPr>
                <w:rFonts w:ascii="Times New Roman" w:eastAsia="仿宋_GB2312" w:hAnsi="Times New Roman"/>
                <w:b/>
                <w:bCs/>
                <w:sz w:val="24"/>
                <w:szCs w:val="24"/>
              </w:rPr>
              <w:tab/>
            </w:r>
            <w:r>
              <w:rPr>
                <w:rFonts w:ascii="Times New Roman" w:eastAsia="仿宋_GB2312" w:hAnsi="Times New Roman"/>
                <w:sz w:val="24"/>
                <w:szCs w:val="24"/>
              </w:rPr>
              <w:t>The delivery payments shall be settled as per the delivery settlement price plus premiums or discounts in respect of the benchmark delivery warehouses and non-benchmark delivery warehouses</w:t>
            </w:r>
            <w:r>
              <w:rPr>
                <w:rFonts w:ascii="Times New Roman" w:eastAsia="仿宋_GB2312" w:hAnsi="Times New Roman" w:hint="eastAsia"/>
                <w:sz w:val="24"/>
                <w:szCs w:val="24"/>
              </w:rPr>
              <w:t xml:space="preserve"> </w:t>
            </w:r>
            <w:r>
              <w:rPr>
                <w:rFonts w:ascii="Times New Roman" w:hAnsi="Times New Roman" w:hint="eastAsia"/>
                <w:color w:val="000000"/>
                <w:kern w:val="0"/>
                <w:sz w:val="24"/>
                <w:szCs w:val="24"/>
                <w:highlight w:val="lightGray"/>
              </w:rPr>
              <w:t>or the designated FOT delivery site</w:t>
            </w:r>
            <w:r>
              <w:rPr>
                <w:rFonts w:ascii="Times New Roman" w:eastAsia="仿宋_GB2312" w:hAnsi="Times New Roman"/>
                <w:sz w:val="24"/>
                <w:szCs w:val="24"/>
              </w:rPr>
              <w:t>. Where the Exchange has other provisions, such provisions shall apply.</w:t>
            </w:r>
          </w:p>
        </w:tc>
      </w:tr>
      <w:tr w:rsidR="009E67C7" w:rsidTr="00864FCF">
        <w:tc>
          <w:tcPr>
            <w:tcW w:w="2500" w:type="pct"/>
            <w:tcBorders>
              <w:top w:val="single" w:sz="4" w:space="0" w:color="000000"/>
              <w:left w:val="single" w:sz="4" w:space="0" w:color="000000"/>
              <w:bottom w:val="single" w:sz="4" w:space="0" w:color="000000"/>
              <w:right w:val="single" w:sz="4" w:space="0" w:color="000000"/>
            </w:tcBorders>
          </w:tcPr>
          <w:p w:rsidR="009E67C7" w:rsidRDefault="009E67C7" w:rsidP="00864FCF">
            <w:pPr>
              <w:snapToGrid w:val="0"/>
              <w:spacing w:before="200" w:line="288" w:lineRule="auto"/>
              <w:rPr>
                <w:rFonts w:ascii="Times New Roman" w:eastAsia="仿宋_GB2312" w:hAnsi="Times New Roman"/>
                <w:sz w:val="24"/>
                <w:szCs w:val="24"/>
              </w:rPr>
            </w:pPr>
            <w:r>
              <w:rPr>
                <w:rFonts w:ascii="Times New Roman" w:eastAsia="仿宋_GB2312" w:hAnsi="Times New Roman"/>
                <w:b/>
                <w:bCs/>
                <w:sz w:val="24"/>
                <w:szCs w:val="24"/>
              </w:rPr>
              <w:t>Article 70</w:t>
            </w:r>
            <w:r>
              <w:rPr>
                <w:rFonts w:ascii="Times New Roman" w:eastAsia="仿宋_GB2312" w:hAnsi="Times New Roman"/>
                <w:b/>
                <w:bCs/>
                <w:sz w:val="24"/>
                <w:szCs w:val="24"/>
              </w:rPr>
              <w:tab/>
            </w:r>
            <w:r>
              <w:rPr>
                <w:rFonts w:ascii="Times New Roman" w:eastAsia="仿宋_GB2312" w:hAnsi="Times New Roman"/>
                <w:sz w:val="24"/>
                <w:szCs w:val="24"/>
              </w:rPr>
              <w:t>The clearing business of the daily selective delivery shall be handled pursuant to the following rules:</w:t>
            </w:r>
          </w:p>
          <w:p w:rsidR="009E67C7" w:rsidRDefault="009E67C7" w:rsidP="00864FCF">
            <w:pPr>
              <w:snapToGrid w:val="0"/>
              <w:spacing w:before="200" w:line="288" w:lineRule="auto"/>
              <w:rPr>
                <w:rFonts w:ascii="Times New Roman" w:eastAsia="仿宋_GB2312" w:hAnsi="Times New Roman"/>
                <w:sz w:val="24"/>
                <w:szCs w:val="24"/>
              </w:rPr>
            </w:pPr>
            <w:r>
              <w:rPr>
                <w:rFonts w:ascii="Times New Roman" w:eastAsia="仿宋_GB2312" w:hAnsi="Times New Roman"/>
                <w:sz w:val="24"/>
                <w:szCs w:val="24"/>
              </w:rPr>
              <w:t>……</w:t>
            </w:r>
          </w:p>
          <w:p w:rsidR="009E67C7" w:rsidRDefault="009E67C7" w:rsidP="00864FCF">
            <w:pPr>
              <w:snapToGrid w:val="0"/>
              <w:spacing w:before="200" w:line="288" w:lineRule="auto"/>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ab/>
              <w:t>within one (1) trading day following the matching day, the buyer Member shall, pursuant to the provisions of the tax authority, notify to the seller Member the detailed information for issuing the common VAT invoice, including the name and address of the purchasing entity, the taxpayer registration number and amount; and</w:t>
            </w:r>
          </w:p>
          <w:p w:rsidR="009E67C7" w:rsidRDefault="009E67C7" w:rsidP="00864FCF">
            <w:pPr>
              <w:snapToGrid w:val="0"/>
              <w:spacing w:before="200" w:line="288" w:lineRule="auto"/>
              <w:rPr>
                <w:rFonts w:ascii="Times New Roman" w:eastAsia="仿宋_GB2312" w:hAnsi="Times New Roman"/>
                <w:sz w:val="24"/>
                <w:szCs w:val="24"/>
              </w:rPr>
            </w:pPr>
            <w:r>
              <w:rPr>
                <w:rFonts w:ascii="Times New Roman" w:eastAsia="仿宋_GB2312" w:hAnsi="Times New Roman"/>
                <w:sz w:val="24"/>
                <w:szCs w:val="24"/>
              </w:rPr>
              <w:t>(8)</w:t>
            </w:r>
            <w:r>
              <w:rPr>
                <w:rFonts w:ascii="Times New Roman" w:eastAsia="仿宋_GB2312" w:hAnsi="Times New Roman"/>
                <w:sz w:val="24"/>
                <w:szCs w:val="24"/>
              </w:rPr>
              <w:tab/>
            </w:r>
            <w:proofErr w:type="gramStart"/>
            <w:r>
              <w:rPr>
                <w:rFonts w:ascii="Times New Roman" w:eastAsia="仿宋_GB2312" w:hAnsi="Times New Roman"/>
                <w:sz w:val="24"/>
                <w:szCs w:val="24"/>
              </w:rPr>
              <w:t>the</w:t>
            </w:r>
            <w:proofErr w:type="gramEnd"/>
            <w:r>
              <w:rPr>
                <w:rFonts w:ascii="Times New Roman" w:eastAsia="仿宋_GB2312" w:hAnsi="Times New Roman"/>
                <w:sz w:val="24"/>
                <w:szCs w:val="24"/>
              </w:rPr>
              <w:t xml:space="preserve"> specific provisions on the delivery of common VAT invoice by the seller Member to the buyer Member are provided in the detailed rules of the relevant futures products.</w:t>
            </w:r>
          </w:p>
        </w:tc>
        <w:tc>
          <w:tcPr>
            <w:tcW w:w="2500" w:type="pct"/>
            <w:tcBorders>
              <w:top w:val="single" w:sz="4" w:space="0" w:color="000000"/>
              <w:left w:val="single" w:sz="4" w:space="0" w:color="000000"/>
              <w:bottom w:val="single" w:sz="4" w:space="0" w:color="000000"/>
              <w:right w:val="single" w:sz="4" w:space="0" w:color="000000"/>
            </w:tcBorders>
          </w:tcPr>
          <w:p w:rsidR="009E67C7" w:rsidRDefault="009E67C7" w:rsidP="00864FCF">
            <w:pPr>
              <w:snapToGrid w:val="0"/>
              <w:spacing w:before="200" w:line="288" w:lineRule="auto"/>
              <w:rPr>
                <w:rFonts w:ascii="Times New Roman" w:eastAsia="仿宋_GB2312" w:hAnsi="Times New Roman"/>
                <w:sz w:val="24"/>
                <w:szCs w:val="24"/>
              </w:rPr>
            </w:pPr>
            <w:r>
              <w:rPr>
                <w:rFonts w:ascii="Times New Roman" w:eastAsia="仿宋_GB2312" w:hAnsi="Times New Roman"/>
                <w:b/>
                <w:bCs/>
                <w:sz w:val="24"/>
                <w:szCs w:val="24"/>
              </w:rPr>
              <w:t>Article 70</w:t>
            </w:r>
            <w:r>
              <w:rPr>
                <w:rFonts w:ascii="Times New Roman" w:eastAsia="仿宋_GB2312" w:hAnsi="Times New Roman"/>
                <w:b/>
                <w:bCs/>
                <w:sz w:val="24"/>
                <w:szCs w:val="24"/>
              </w:rPr>
              <w:tab/>
            </w:r>
            <w:r>
              <w:rPr>
                <w:rFonts w:ascii="Times New Roman" w:eastAsia="仿宋_GB2312" w:hAnsi="Times New Roman"/>
                <w:sz w:val="24"/>
                <w:szCs w:val="24"/>
              </w:rPr>
              <w:t>The clearing business of the daily selective delivery shall be handled pursuant to the following rules:</w:t>
            </w:r>
          </w:p>
          <w:p w:rsidR="009E67C7" w:rsidRDefault="009E67C7" w:rsidP="00864FCF">
            <w:pPr>
              <w:snapToGrid w:val="0"/>
              <w:spacing w:before="200" w:line="288" w:lineRule="auto"/>
              <w:rPr>
                <w:rFonts w:ascii="Times New Roman" w:eastAsia="仿宋_GB2312" w:hAnsi="Times New Roman"/>
                <w:sz w:val="24"/>
                <w:szCs w:val="24"/>
              </w:rPr>
            </w:pPr>
            <w:r>
              <w:rPr>
                <w:rFonts w:ascii="Times New Roman" w:eastAsia="仿宋_GB2312" w:hAnsi="Times New Roman"/>
                <w:sz w:val="24"/>
                <w:szCs w:val="24"/>
              </w:rPr>
              <w:t>……</w:t>
            </w:r>
          </w:p>
          <w:p w:rsidR="009E67C7" w:rsidRDefault="009E67C7" w:rsidP="00864FCF">
            <w:pPr>
              <w:snapToGrid w:val="0"/>
              <w:spacing w:before="200" w:line="288" w:lineRule="auto"/>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ab/>
              <w:t xml:space="preserve">within one (1) trading day following the matching day, the buyer Member shall, pursuant to the provisions of the tax authority, notify to the seller Member the detailed information for issuing the </w:t>
            </w:r>
            <w:r>
              <w:rPr>
                <w:rFonts w:ascii="Times New Roman" w:eastAsia="仿宋_GB2312" w:hAnsi="Times New Roman"/>
                <w:dstrike/>
                <w:sz w:val="24"/>
                <w:szCs w:val="24"/>
              </w:rPr>
              <w:t xml:space="preserve">common </w:t>
            </w:r>
            <w:r>
              <w:rPr>
                <w:rFonts w:ascii="Times New Roman" w:eastAsia="仿宋_GB2312" w:hAnsi="Times New Roman"/>
                <w:sz w:val="24"/>
                <w:szCs w:val="24"/>
              </w:rPr>
              <w:t>VAT invoice, including the name and address of the purchasing entity, the taxpayer registration number and amount; and</w:t>
            </w:r>
          </w:p>
          <w:p w:rsidR="009E67C7" w:rsidRDefault="009E67C7" w:rsidP="00864FCF">
            <w:pPr>
              <w:snapToGrid w:val="0"/>
              <w:spacing w:before="200" w:line="288" w:lineRule="auto"/>
              <w:rPr>
                <w:rFonts w:ascii="Times New Roman" w:eastAsia="仿宋_GB2312" w:hAnsi="Times New Roman"/>
                <w:b/>
                <w:bCs/>
                <w:sz w:val="24"/>
                <w:szCs w:val="24"/>
              </w:rPr>
            </w:pPr>
            <w:r>
              <w:rPr>
                <w:rFonts w:ascii="Times New Roman" w:eastAsia="仿宋_GB2312" w:hAnsi="Times New Roman"/>
                <w:sz w:val="24"/>
                <w:szCs w:val="24"/>
              </w:rPr>
              <w:t>(8)</w:t>
            </w:r>
            <w:r>
              <w:rPr>
                <w:rFonts w:ascii="Times New Roman" w:eastAsia="仿宋_GB2312" w:hAnsi="Times New Roman"/>
                <w:sz w:val="24"/>
                <w:szCs w:val="24"/>
              </w:rPr>
              <w:tab/>
            </w:r>
            <w:proofErr w:type="gramStart"/>
            <w:r>
              <w:rPr>
                <w:rFonts w:ascii="Times New Roman" w:eastAsia="仿宋_GB2312" w:hAnsi="Times New Roman"/>
                <w:sz w:val="24"/>
                <w:szCs w:val="24"/>
              </w:rPr>
              <w:t>the</w:t>
            </w:r>
            <w:proofErr w:type="gramEnd"/>
            <w:r>
              <w:rPr>
                <w:rFonts w:ascii="Times New Roman" w:eastAsia="仿宋_GB2312" w:hAnsi="Times New Roman"/>
                <w:sz w:val="24"/>
                <w:szCs w:val="24"/>
              </w:rPr>
              <w:t xml:space="preserve"> specific provisions on the delivery of </w:t>
            </w:r>
            <w:r>
              <w:rPr>
                <w:rFonts w:ascii="Times New Roman" w:eastAsia="仿宋_GB2312" w:hAnsi="Times New Roman"/>
                <w:dstrike/>
                <w:sz w:val="24"/>
                <w:szCs w:val="24"/>
              </w:rPr>
              <w:t xml:space="preserve">common </w:t>
            </w:r>
            <w:r>
              <w:rPr>
                <w:rFonts w:ascii="Times New Roman" w:eastAsia="仿宋_GB2312" w:hAnsi="Times New Roman"/>
                <w:sz w:val="24"/>
                <w:szCs w:val="24"/>
              </w:rPr>
              <w:t>VAT invoice by the seller Member to the buyer Member are provided in the detailed rules of the relevant futures products.</w:t>
            </w:r>
          </w:p>
        </w:tc>
      </w:tr>
    </w:tbl>
    <w:p w:rsidR="009E67C7" w:rsidRDefault="009E67C7" w:rsidP="009E67C7">
      <w:pPr>
        <w:adjustRightInd w:val="0"/>
        <w:snapToGrid w:val="0"/>
        <w:spacing w:before="200" w:line="288" w:lineRule="auto"/>
        <w:jc w:val="center"/>
        <w:rPr>
          <w:rFonts w:ascii="Times New Roman" w:hAnsi="Times New Roman"/>
          <w:b/>
          <w:bCs/>
          <w:sz w:val="24"/>
          <w:szCs w:val="24"/>
        </w:rPr>
      </w:pPr>
    </w:p>
    <w:p w:rsidR="009E67C7" w:rsidRDefault="009E67C7" w:rsidP="009E67C7">
      <w:pPr>
        <w:widowControl/>
        <w:jc w:val="left"/>
        <w:rPr>
          <w:rFonts w:ascii="Times New Roman" w:hAnsi="Times New Roman"/>
          <w:b/>
          <w:bCs/>
          <w:sz w:val="24"/>
          <w:szCs w:val="24"/>
        </w:rPr>
      </w:pPr>
      <w:r>
        <w:rPr>
          <w:rFonts w:ascii="Times New Roman" w:hAnsi="Times New Roman"/>
          <w:b/>
          <w:bCs/>
          <w:sz w:val="24"/>
          <w:szCs w:val="24"/>
        </w:rPr>
        <w:br w:type="page"/>
      </w:r>
    </w:p>
    <w:p w:rsidR="009E67C7" w:rsidRDefault="009E67C7" w:rsidP="009E67C7">
      <w:pPr>
        <w:adjustRightInd w:val="0"/>
        <w:snapToGrid w:val="0"/>
        <w:spacing w:before="200" w:line="288" w:lineRule="auto"/>
        <w:jc w:val="center"/>
        <w:rPr>
          <w:rFonts w:ascii="Times New Roman" w:hAnsi="Times New Roman"/>
          <w:b/>
          <w:bCs/>
          <w:sz w:val="24"/>
          <w:szCs w:val="24"/>
        </w:rPr>
      </w:pPr>
    </w:p>
    <w:p w:rsidR="009E67C7" w:rsidRDefault="009E67C7" w:rsidP="009E67C7">
      <w:pPr>
        <w:adjustRightInd w:val="0"/>
        <w:snapToGrid w:val="0"/>
        <w:spacing w:before="200" w:line="288" w:lineRule="auto"/>
        <w:jc w:val="center"/>
        <w:outlineLvl w:val="1"/>
        <w:rPr>
          <w:rFonts w:ascii="Times New Roman" w:hAnsi="Times New Roman" w:cs="Times New Roman"/>
          <w:b/>
          <w:sz w:val="24"/>
          <w:szCs w:val="24"/>
        </w:rPr>
      </w:pPr>
      <w:r>
        <w:rPr>
          <w:rFonts w:ascii="Times New Roman" w:hAnsi="Times New Roman" w:hint="eastAsia"/>
          <w:b/>
          <w:bCs/>
          <w:sz w:val="24"/>
          <w:szCs w:val="24"/>
        </w:rPr>
        <w:t xml:space="preserve">2. </w:t>
      </w:r>
      <w:r>
        <w:rPr>
          <w:rFonts w:ascii="Times New Roman" w:eastAsia="仿宋_GB2312" w:hAnsi="Times New Roman"/>
          <w:b/>
          <w:sz w:val="24"/>
          <w:szCs w:val="24"/>
        </w:rPr>
        <w:t xml:space="preserve">Comparison Table of the Amendments to the </w:t>
      </w:r>
      <w:r>
        <w:rPr>
          <w:rFonts w:ascii="Times New Roman" w:hAnsi="Times New Roman"/>
          <w:b/>
          <w:bCs/>
          <w:sz w:val="24"/>
          <w:szCs w:val="24"/>
        </w:rPr>
        <w:t xml:space="preserve">Measures for </w:t>
      </w:r>
      <w:r>
        <w:rPr>
          <w:rFonts w:ascii="Times New Roman" w:hAnsi="Times New Roman" w:hint="eastAsia"/>
          <w:b/>
          <w:bCs/>
          <w:sz w:val="24"/>
          <w:szCs w:val="24"/>
        </w:rPr>
        <w:t>Delivery</w:t>
      </w:r>
      <w:r>
        <w:rPr>
          <w:rFonts w:ascii="Times New Roman" w:hAnsi="Times New Roman"/>
          <w:b/>
          <w:bCs/>
          <w:sz w:val="24"/>
          <w:szCs w:val="24"/>
        </w:rPr>
        <w:t xml:space="preserve"> Management of Dalian Commodity Exchange</w:t>
      </w:r>
    </w:p>
    <w:p w:rsidR="009E67C7" w:rsidRDefault="009E67C7" w:rsidP="009E67C7">
      <w:pPr>
        <w:jc w:val="center"/>
        <w:rPr>
          <w:rFonts w:ascii="Times New Roman" w:eastAsia="楷体_GB2312" w:hAnsi="Times New Roman"/>
          <w:color w:val="000000"/>
          <w:sz w:val="24"/>
          <w:szCs w:val="24"/>
        </w:rPr>
      </w:pPr>
      <w:r>
        <w:rPr>
          <w:rFonts w:ascii="Times New Roman" w:eastAsia="楷体_GB2312" w:hAnsi="Times New Roman"/>
          <w:color w:val="000000"/>
          <w:sz w:val="24"/>
          <w:szCs w:val="24"/>
        </w:rPr>
        <w:t>(Contents newly added are in shade; contents deleted are marked with double strikethrough; and clauses unchanged are represented by ellipsis.)</w:t>
      </w:r>
    </w:p>
    <w:tbl>
      <w:tblPr>
        <w:tblW w:w="495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2" w:type="dxa"/>
          <w:right w:w="142" w:type="dxa"/>
        </w:tblCellMar>
        <w:tblLook w:val="04A0" w:firstRow="1" w:lastRow="0" w:firstColumn="1" w:lastColumn="0" w:noHBand="0" w:noVBand="1"/>
      </w:tblPr>
      <w:tblGrid>
        <w:gridCol w:w="4316"/>
        <w:gridCol w:w="4317"/>
      </w:tblGrid>
      <w:tr w:rsidR="009E67C7" w:rsidTr="00864FCF">
        <w:tc>
          <w:tcPr>
            <w:tcW w:w="2500" w:type="pct"/>
            <w:tcBorders>
              <w:top w:val="single" w:sz="4" w:space="0" w:color="000000"/>
              <w:left w:val="single" w:sz="4" w:space="0" w:color="000000"/>
              <w:bottom w:val="single" w:sz="4" w:space="0" w:color="000000"/>
              <w:right w:val="single" w:sz="4" w:space="0" w:color="000000"/>
            </w:tcBorders>
          </w:tcPr>
          <w:p w:rsidR="009E67C7" w:rsidRDefault="009E67C7" w:rsidP="00864FCF">
            <w:pPr>
              <w:snapToGrid w:val="0"/>
              <w:spacing w:before="200" w:line="288" w:lineRule="auto"/>
              <w:jc w:val="center"/>
              <w:rPr>
                <w:rFonts w:ascii="Times New Roman" w:eastAsia="仿宋_GB2312" w:hAnsi="Times New Roman" w:cs="Times New Roman"/>
                <w:b/>
                <w:bCs/>
                <w:sz w:val="24"/>
                <w:szCs w:val="24"/>
              </w:rPr>
            </w:pPr>
            <w:r>
              <w:rPr>
                <w:rFonts w:ascii="Times New Roman" w:eastAsia="仿宋_GB2312" w:hAnsi="Times New Roman"/>
                <w:b/>
                <w:bCs/>
                <w:sz w:val="24"/>
                <w:szCs w:val="24"/>
              </w:rPr>
              <w:t>Original Articles</w:t>
            </w:r>
          </w:p>
        </w:tc>
        <w:tc>
          <w:tcPr>
            <w:tcW w:w="2500" w:type="pct"/>
            <w:tcBorders>
              <w:top w:val="single" w:sz="4" w:space="0" w:color="000000"/>
              <w:left w:val="single" w:sz="4" w:space="0" w:color="000000"/>
              <w:bottom w:val="single" w:sz="4" w:space="0" w:color="000000"/>
              <w:right w:val="single" w:sz="4" w:space="0" w:color="000000"/>
            </w:tcBorders>
          </w:tcPr>
          <w:p w:rsidR="009E67C7" w:rsidRDefault="009E67C7" w:rsidP="00864FCF">
            <w:pPr>
              <w:snapToGrid w:val="0"/>
              <w:spacing w:before="200" w:line="288" w:lineRule="auto"/>
              <w:jc w:val="center"/>
              <w:rPr>
                <w:rFonts w:ascii="Times New Roman" w:eastAsia="仿宋_GB2312" w:hAnsi="Times New Roman"/>
                <w:b/>
                <w:bCs/>
                <w:sz w:val="24"/>
                <w:szCs w:val="24"/>
              </w:rPr>
            </w:pPr>
            <w:r>
              <w:rPr>
                <w:rFonts w:ascii="Times New Roman" w:eastAsia="仿宋_GB2312" w:hAnsi="Times New Roman"/>
                <w:b/>
                <w:bCs/>
                <w:sz w:val="24"/>
                <w:szCs w:val="24"/>
              </w:rPr>
              <w:t>Amended Articles</w:t>
            </w:r>
          </w:p>
        </w:tc>
      </w:tr>
      <w:tr w:rsidR="009E67C7" w:rsidTr="00864FCF">
        <w:tc>
          <w:tcPr>
            <w:tcW w:w="2500" w:type="pct"/>
            <w:tcBorders>
              <w:top w:val="single" w:sz="4" w:space="0" w:color="000000"/>
              <w:left w:val="single" w:sz="4" w:space="0" w:color="000000"/>
              <w:bottom w:val="single" w:sz="4" w:space="0" w:color="000000"/>
              <w:right w:val="single" w:sz="4" w:space="0" w:color="000000"/>
            </w:tcBorders>
          </w:tcPr>
          <w:p w:rsidR="009E67C7" w:rsidRDefault="009E67C7" w:rsidP="00864FCF">
            <w:pPr>
              <w:snapToGrid w:val="0"/>
              <w:spacing w:before="200" w:line="288" w:lineRule="auto"/>
              <w:rPr>
                <w:rFonts w:ascii="Times New Roman" w:eastAsia="仿宋_GB2312" w:hAnsi="Times New Roman"/>
                <w:sz w:val="24"/>
                <w:szCs w:val="24"/>
              </w:rPr>
            </w:pPr>
            <w:r>
              <w:rPr>
                <w:rFonts w:ascii="Times New Roman" w:eastAsia="仿宋_GB2312" w:hAnsi="Times New Roman"/>
                <w:b/>
                <w:bCs/>
                <w:sz w:val="24"/>
                <w:szCs w:val="24"/>
              </w:rPr>
              <w:t>Article 44</w:t>
            </w:r>
            <w:r>
              <w:rPr>
                <w:rFonts w:ascii="Times New Roman" w:eastAsia="仿宋_GB2312" w:hAnsi="Times New Roman"/>
                <w:b/>
                <w:bCs/>
                <w:sz w:val="24"/>
                <w:szCs w:val="24"/>
              </w:rPr>
              <w:tab/>
            </w:r>
            <w:r>
              <w:rPr>
                <w:rFonts w:ascii="Times New Roman" w:eastAsia="仿宋_GB2312" w:hAnsi="Times New Roman"/>
                <w:sz w:val="24"/>
                <w:szCs w:val="24"/>
              </w:rPr>
              <w:t>Within one (1) trading day following the matching day, the buyer Member shall, pursuant to the provisions of the tax authority, notify to the seller Member the specific information for issuing the VAT common invoice. The specific provisions on the delivery of common VAT invoice by the seller Member to the buyer Member are provided in the detailed rules of the relevant futures products.</w:t>
            </w:r>
          </w:p>
          <w:p w:rsidR="009E67C7" w:rsidRDefault="009E67C7" w:rsidP="00864FCF">
            <w:pPr>
              <w:snapToGrid w:val="0"/>
              <w:spacing w:before="200" w:line="288" w:lineRule="auto"/>
              <w:rPr>
                <w:rFonts w:ascii="Times New Roman" w:eastAsia="仿宋_GB2312" w:hAnsi="Times New Roman"/>
                <w:sz w:val="24"/>
                <w:szCs w:val="24"/>
              </w:rPr>
            </w:pPr>
            <w:r>
              <w:rPr>
                <w:rFonts w:ascii="Times New Roman" w:eastAsia="仿宋_GB2312" w:hAnsi="Times New Roman"/>
                <w:sz w:val="24"/>
                <w:szCs w:val="24"/>
              </w:rPr>
              <w:t xml:space="preserve">The </w:t>
            </w:r>
            <w:r>
              <w:rPr>
                <w:rFonts w:ascii="Times New Roman" w:eastAsia="仿宋_GB2312" w:hAnsi="Times New Roman" w:hint="eastAsia"/>
                <w:sz w:val="24"/>
                <w:szCs w:val="24"/>
              </w:rPr>
              <w:t xml:space="preserve">common </w:t>
            </w:r>
            <w:r>
              <w:rPr>
                <w:rFonts w:ascii="Times New Roman" w:eastAsia="仿宋_GB2312" w:hAnsi="Times New Roman"/>
                <w:sz w:val="24"/>
                <w:szCs w:val="24"/>
              </w:rPr>
              <w:t>VAT invoices</w:t>
            </w:r>
            <w:r>
              <w:rPr>
                <w:rFonts w:ascii="Times New Roman" w:eastAsia="仿宋_GB2312" w:hAnsi="Times New Roman" w:hint="eastAsia"/>
                <w:sz w:val="24"/>
                <w:szCs w:val="24"/>
              </w:rPr>
              <w:t xml:space="preserve"> for delivery</w:t>
            </w:r>
            <w:r>
              <w:rPr>
                <w:rFonts w:ascii="Times New Roman" w:eastAsia="仿宋_GB2312" w:hAnsi="Times New Roman"/>
                <w:sz w:val="24"/>
                <w:szCs w:val="24"/>
              </w:rPr>
              <w:t xml:space="preserve"> shall be issued by the delivering seller </w:t>
            </w:r>
            <w:r>
              <w:rPr>
                <w:rFonts w:ascii="Times New Roman" w:eastAsia="仿宋_GB2312" w:hAnsi="Times New Roman" w:hint="eastAsia"/>
                <w:sz w:val="24"/>
                <w:szCs w:val="24"/>
              </w:rPr>
              <w:t>client</w:t>
            </w:r>
            <w:r>
              <w:rPr>
                <w:rFonts w:ascii="Times New Roman" w:eastAsia="仿宋_GB2312" w:hAnsi="Times New Roman"/>
                <w:sz w:val="24"/>
                <w:szCs w:val="24"/>
              </w:rPr>
              <w:t xml:space="preserve"> to the corresponding buyer </w:t>
            </w:r>
            <w:r>
              <w:rPr>
                <w:rFonts w:ascii="Times New Roman" w:eastAsia="仿宋_GB2312" w:hAnsi="Times New Roman" w:hint="eastAsia"/>
                <w:sz w:val="24"/>
                <w:szCs w:val="24"/>
              </w:rPr>
              <w:t>client</w:t>
            </w:r>
            <w:r>
              <w:rPr>
                <w:rFonts w:ascii="Times New Roman" w:eastAsia="仿宋_GB2312" w:hAnsi="Times New Roman"/>
                <w:sz w:val="24"/>
                <w:szCs w:val="24"/>
              </w:rPr>
              <w:t xml:space="preserve">, and the </w:t>
            </w:r>
            <w:r>
              <w:rPr>
                <w:rFonts w:ascii="Times New Roman" w:eastAsia="仿宋_GB2312" w:hAnsi="Times New Roman" w:hint="eastAsia"/>
                <w:sz w:val="24"/>
                <w:szCs w:val="24"/>
              </w:rPr>
              <w:t xml:space="preserve">common </w:t>
            </w:r>
            <w:r>
              <w:rPr>
                <w:rFonts w:ascii="Times New Roman" w:eastAsia="仿宋_GB2312" w:hAnsi="Times New Roman"/>
                <w:sz w:val="24"/>
                <w:szCs w:val="24"/>
              </w:rPr>
              <w:t xml:space="preserve">VAT invoice issued by the </w:t>
            </w:r>
            <w:r>
              <w:rPr>
                <w:rFonts w:ascii="Times New Roman" w:eastAsia="仿宋_GB2312" w:hAnsi="Times New Roman" w:hint="eastAsia"/>
                <w:sz w:val="24"/>
                <w:szCs w:val="24"/>
              </w:rPr>
              <w:t>client</w:t>
            </w:r>
            <w:r>
              <w:rPr>
                <w:rFonts w:ascii="Times New Roman" w:eastAsia="仿宋_GB2312" w:hAnsi="Times New Roman"/>
                <w:sz w:val="24"/>
                <w:szCs w:val="24"/>
              </w:rPr>
              <w:t xml:space="preserve"> shall be forwarded, collected and assisted in verification by the Members of both parties.</w:t>
            </w:r>
          </w:p>
          <w:p w:rsidR="009E67C7" w:rsidRDefault="009E67C7" w:rsidP="00864FCF">
            <w:pPr>
              <w:snapToGrid w:val="0"/>
              <w:spacing w:before="200" w:line="288" w:lineRule="auto"/>
              <w:rPr>
                <w:rFonts w:ascii="Times New Roman" w:eastAsia="仿宋_GB2312" w:hAnsi="Times New Roman"/>
                <w:sz w:val="24"/>
                <w:szCs w:val="24"/>
              </w:rPr>
            </w:pPr>
            <w:r>
              <w:rPr>
                <w:rFonts w:ascii="Times New Roman" w:eastAsia="仿宋_GB2312" w:hAnsi="Times New Roman" w:hint="eastAsia"/>
                <w:sz w:val="24"/>
                <w:szCs w:val="24"/>
              </w:rPr>
              <w:t>Where a</w:t>
            </w:r>
            <w:r>
              <w:rPr>
                <w:rFonts w:ascii="Times New Roman" w:eastAsia="仿宋_GB2312" w:hAnsi="Times New Roman"/>
                <w:sz w:val="24"/>
                <w:szCs w:val="24"/>
              </w:rPr>
              <w:t xml:space="preserve"> Member</w:t>
            </w:r>
            <w:r>
              <w:rPr>
                <w:rFonts w:ascii="Times New Roman" w:eastAsia="仿宋_GB2312" w:hAnsi="Times New Roman" w:hint="eastAsia"/>
                <w:sz w:val="24"/>
                <w:szCs w:val="24"/>
              </w:rPr>
              <w:t xml:space="preserve"> </w:t>
            </w:r>
            <w:r>
              <w:rPr>
                <w:rFonts w:ascii="Times New Roman" w:eastAsia="仿宋_GB2312" w:hAnsi="Times New Roman"/>
                <w:sz w:val="24"/>
                <w:szCs w:val="24"/>
              </w:rPr>
              <w:t>delay</w:t>
            </w:r>
            <w:r>
              <w:rPr>
                <w:rFonts w:ascii="Times New Roman" w:eastAsia="仿宋_GB2312" w:hAnsi="Times New Roman" w:hint="eastAsia"/>
                <w:sz w:val="24"/>
                <w:szCs w:val="24"/>
              </w:rPr>
              <w:t>s</w:t>
            </w:r>
            <w:r>
              <w:rPr>
                <w:rFonts w:ascii="Times New Roman" w:eastAsia="仿宋_GB2312" w:hAnsi="Times New Roman"/>
                <w:sz w:val="24"/>
                <w:szCs w:val="24"/>
              </w:rPr>
              <w:t xml:space="preserve"> </w:t>
            </w:r>
            <w:r>
              <w:rPr>
                <w:rFonts w:ascii="Times New Roman" w:eastAsia="仿宋_GB2312" w:hAnsi="Times New Roman" w:hint="eastAsia"/>
                <w:sz w:val="24"/>
                <w:szCs w:val="24"/>
              </w:rPr>
              <w:t xml:space="preserve">or </w:t>
            </w:r>
            <w:r>
              <w:rPr>
                <w:rFonts w:ascii="Times New Roman" w:eastAsia="仿宋_GB2312" w:hAnsi="Times New Roman"/>
                <w:sz w:val="24"/>
                <w:szCs w:val="24"/>
              </w:rPr>
              <w:t>fail</w:t>
            </w:r>
            <w:r>
              <w:rPr>
                <w:rFonts w:ascii="Times New Roman" w:eastAsia="仿宋_GB2312" w:hAnsi="Times New Roman" w:hint="eastAsia"/>
                <w:sz w:val="24"/>
                <w:szCs w:val="24"/>
              </w:rPr>
              <w:t>s</w:t>
            </w:r>
            <w:r>
              <w:rPr>
                <w:rFonts w:ascii="Times New Roman" w:eastAsia="仿宋_GB2312" w:hAnsi="Times New Roman"/>
                <w:sz w:val="24"/>
                <w:szCs w:val="24"/>
              </w:rPr>
              <w:t xml:space="preserve"> </w:t>
            </w:r>
            <w:r>
              <w:rPr>
                <w:rFonts w:ascii="Times New Roman" w:eastAsia="仿宋_GB2312" w:hAnsi="Times New Roman" w:hint="eastAsia"/>
                <w:sz w:val="24"/>
                <w:szCs w:val="24"/>
              </w:rPr>
              <w:t>to submit</w:t>
            </w:r>
            <w:r>
              <w:rPr>
                <w:rFonts w:ascii="Times New Roman" w:eastAsia="仿宋_GB2312" w:hAnsi="Times New Roman"/>
                <w:sz w:val="24"/>
                <w:szCs w:val="24"/>
              </w:rPr>
              <w:t xml:space="preserve"> the </w:t>
            </w:r>
            <w:r>
              <w:rPr>
                <w:rFonts w:ascii="Times New Roman" w:eastAsia="仿宋_GB2312" w:hAnsi="Times New Roman" w:hint="eastAsia"/>
                <w:sz w:val="24"/>
                <w:szCs w:val="24"/>
              </w:rPr>
              <w:t xml:space="preserve">common </w:t>
            </w:r>
            <w:r>
              <w:rPr>
                <w:rFonts w:ascii="Times New Roman" w:eastAsia="仿宋_GB2312" w:hAnsi="Times New Roman"/>
                <w:sz w:val="24"/>
                <w:szCs w:val="24"/>
              </w:rPr>
              <w:t xml:space="preserve">VAT invoice, it shall be handled in accordance with the applicable provisions of the </w:t>
            </w:r>
            <w:r>
              <w:rPr>
                <w:rFonts w:ascii="Times New Roman" w:eastAsia="仿宋_GB2312" w:hAnsi="Times New Roman"/>
                <w:i/>
                <w:iCs/>
                <w:sz w:val="24"/>
                <w:szCs w:val="24"/>
              </w:rPr>
              <w:t>Measures for Clearing Management of Dalian Commodity Exchange</w:t>
            </w:r>
            <w:r>
              <w:rPr>
                <w:rFonts w:ascii="Times New Roman" w:eastAsia="仿宋_GB2312" w:hAnsi="Times New Roman"/>
                <w:sz w:val="24"/>
                <w:szCs w:val="24"/>
              </w:rPr>
              <w:t xml:space="preserve">. </w:t>
            </w:r>
          </w:p>
        </w:tc>
        <w:tc>
          <w:tcPr>
            <w:tcW w:w="2500" w:type="pct"/>
            <w:tcBorders>
              <w:top w:val="single" w:sz="4" w:space="0" w:color="000000"/>
              <w:left w:val="single" w:sz="4" w:space="0" w:color="000000"/>
              <w:bottom w:val="single" w:sz="4" w:space="0" w:color="000000"/>
              <w:right w:val="single" w:sz="4" w:space="0" w:color="000000"/>
            </w:tcBorders>
          </w:tcPr>
          <w:p w:rsidR="009E67C7" w:rsidRDefault="009E67C7" w:rsidP="00864FCF">
            <w:pPr>
              <w:snapToGrid w:val="0"/>
              <w:spacing w:before="200" w:line="288" w:lineRule="auto"/>
              <w:rPr>
                <w:rFonts w:ascii="Times New Roman" w:eastAsia="仿宋_GB2312" w:hAnsi="Times New Roman"/>
                <w:sz w:val="24"/>
                <w:szCs w:val="24"/>
              </w:rPr>
            </w:pPr>
            <w:r>
              <w:rPr>
                <w:rFonts w:ascii="Times New Roman" w:eastAsia="仿宋_GB2312" w:hAnsi="Times New Roman"/>
                <w:b/>
                <w:bCs/>
                <w:sz w:val="24"/>
                <w:szCs w:val="24"/>
              </w:rPr>
              <w:t>Article 44</w:t>
            </w:r>
            <w:r>
              <w:rPr>
                <w:rFonts w:ascii="Times New Roman" w:eastAsia="仿宋_GB2312" w:hAnsi="Times New Roman"/>
                <w:b/>
                <w:bCs/>
                <w:sz w:val="24"/>
                <w:szCs w:val="24"/>
              </w:rPr>
              <w:tab/>
            </w:r>
            <w:r>
              <w:rPr>
                <w:rFonts w:ascii="Times New Roman" w:eastAsia="仿宋_GB2312" w:hAnsi="Times New Roman"/>
                <w:sz w:val="24"/>
                <w:szCs w:val="24"/>
              </w:rPr>
              <w:t xml:space="preserve">Within one (1) trading day following the matching day, the buyer Member shall, pursuant to the provisions of the tax authority, notify to the seller Member the specific information for issuing the VAT </w:t>
            </w:r>
            <w:r>
              <w:rPr>
                <w:rFonts w:ascii="Times New Roman" w:eastAsia="仿宋_GB2312" w:hAnsi="Times New Roman"/>
                <w:dstrike/>
                <w:sz w:val="24"/>
                <w:szCs w:val="24"/>
              </w:rPr>
              <w:t xml:space="preserve">common </w:t>
            </w:r>
            <w:r>
              <w:rPr>
                <w:rFonts w:ascii="Times New Roman" w:eastAsia="仿宋_GB2312" w:hAnsi="Times New Roman"/>
                <w:sz w:val="24"/>
                <w:szCs w:val="24"/>
              </w:rPr>
              <w:t xml:space="preserve">invoice. The specific provisions on the delivery of </w:t>
            </w:r>
            <w:r>
              <w:rPr>
                <w:rFonts w:ascii="Times New Roman" w:eastAsia="仿宋_GB2312" w:hAnsi="Times New Roman"/>
                <w:dstrike/>
                <w:sz w:val="24"/>
                <w:szCs w:val="24"/>
              </w:rPr>
              <w:t xml:space="preserve">common </w:t>
            </w:r>
            <w:r>
              <w:rPr>
                <w:rFonts w:ascii="Times New Roman" w:eastAsia="仿宋_GB2312" w:hAnsi="Times New Roman"/>
                <w:sz w:val="24"/>
                <w:szCs w:val="24"/>
              </w:rPr>
              <w:t>VAT invoice by the seller Member to the buyer Member are provided in the detailed rules of the relevant futures products.</w:t>
            </w:r>
          </w:p>
          <w:p w:rsidR="009E67C7" w:rsidRDefault="009E67C7" w:rsidP="00864FCF">
            <w:pPr>
              <w:snapToGrid w:val="0"/>
              <w:spacing w:before="200" w:line="288" w:lineRule="auto"/>
              <w:rPr>
                <w:rFonts w:ascii="Times New Roman" w:eastAsia="仿宋_GB2312" w:hAnsi="Times New Roman"/>
                <w:sz w:val="24"/>
                <w:szCs w:val="24"/>
              </w:rPr>
            </w:pPr>
            <w:r>
              <w:rPr>
                <w:rFonts w:ascii="Times New Roman" w:eastAsia="仿宋_GB2312" w:hAnsi="Times New Roman"/>
                <w:sz w:val="24"/>
                <w:szCs w:val="24"/>
              </w:rPr>
              <w:t xml:space="preserve">The </w:t>
            </w:r>
            <w:r>
              <w:rPr>
                <w:rFonts w:ascii="Times New Roman" w:eastAsia="仿宋_GB2312" w:hAnsi="Times New Roman" w:hint="eastAsia"/>
                <w:dstrike/>
                <w:sz w:val="24"/>
                <w:szCs w:val="24"/>
              </w:rPr>
              <w:t xml:space="preserve">common </w:t>
            </w:r>
            <w:r>
              <w:rPr>
                <w:rFonts w:ascii="Times New Roman" w:eastAsia="仿宋_GB2312" w:hAnsi="Times New Roman"/>
                <w:sz w:val="24"/>
                <w:szCs w:val="24"/>
              </w:rPr>
              <w:t xml:space="preserve">VAT invoices </w:t>
            </w:r>
            <w:r>
              <w:rPr>
                <w:rFonts w:ascii="Times New Roman" w:eastAsia="仿宋_GB2312" w:hAnsi="Times New Roman" w:hint="eastAsia"/>
                <w:sz w:val="24"/>
                <w:szCs w:val="24"/>
              </w:rPr>
              <w:t>for delivery</w:t>
            </w:r>
            <w:r>
              <w:rPr>
                <w:rFonts w:ascii="Times New Roman" w:eastAsia="仿宋_GB2312" w:hAnsi="Times New Roman"/>
                <w:sz w:val="24"/>
                <w:szCs w:val="24"/>
              </w:rPr>
              <w:t xml:space="preserve"> shall be issued by the delivering seller </w:t>
            </w:r>
            <w:r>
              <w:rPr>
                <w:rFonts w:ascii="Times New Roman" w:eastAsia="仿宋_GB2312" w:hAnsi="Times New Roman" w:hint="eastAsia"/>
                <w:sz w:val="24"/>
                <w:szCs w:val="24"/>
              </w:rPr>
              <w:t>client</w:t>
            </w:r>
            <w:r>
              <w:rPr>
                <w:rFonts w:ascii="Times New Roman" w:eastAsia="仿宋_GB2312" w:hAnsi="Times New Roman"/>
                <w:sz w:val="24"/>
                <w:szCs w:val="24"/>
              </w:rPr>
              <w:t xml:space="preserve"> to the corresponding buyer </w:t>
            </w:r>
            <w:r>
              <w:rPr>
                <w:rFonts w:ascii="Times New Roman" w:eastAsia="仿宋_GB2312" w:hAnsi="Times New Roman" w:hint="eastAsia"/>
                <w:sz w:val="24"/>
                <w:szCs w:val="24"/>
              </w:rPr>
              <w:t>client</w:t>
            </w:r>
            <w:r>
              <w:rPr>
                <w:rFonts w:ascii="Times New Roman" w:eastAsia="仿宋_GB2312" w:hAnsi="Times New Roman"/>
                <w:sz w:val="24"/>
                <w:szCs w:val="24"/>
              </w:rPr>
              <w:t xml:space="preserve">, and the </w:t>
            </w:r>
            <w:r>
              <w:rPr>
                <w:rFonts w:ascii="Times New Roman" w:eastAsia="仿宋_GB2312" w:hAnsi="Times New Roman" w:hint="eastAsia"/>
                <w:dstrike/>
                <w:sz w:val="24"/>
                <w:szCs w:val="24"/>
              </w:rPr>
              <w:t xml:space="preserve">common </w:t>
            </w:r>
            <w:r>
              <w:rPr>
                <w:rFonts w:ascii="Times New Roman" w:eastAsia="仿宋_GB2312" w:hAnsi="Times New Roman"/>
                <w:sz w:val="24"/>
                <w:szCs w:val="24"/>
              </w:rPr>
              <w:t xml:space="preserve">VAT invoice issued by the </w:t>
            </w:r>
            <w:r>
              <w:rPr>
                <w:rFonts w:ascii="Times New Roman" w:eastAsia="仿宋_GB2312" w:hAnsi="Times New Roman" w:hint="eastAsia"/>
                <w:sz w:val="24"/>
                <w:szCs w:val="24"/>
              </w:rPr>
              <w:t>client</w:t>
            </w:r>
            <w:r>
              <w:rPr>
                <w:rFonts w:ascii="Times New Roman" w:eastAsia="仿宋_GB2312" w:hAnsi="Times New Roman"/>
                <w:sz w:val="24"/>
                <w:szCs w:val="24"/>
              </w:rPr>
              <w:t xml:space="preserve"> shall be forwarded, collected and assisted in verification by the Members of both parties.</w:t>
            </w:r>
          </w:p>
          <w:p w:rsidR="009E67C7" w:rsidRDefault="009E67C7" w:rsidP="00864FCF">
            <w:pPr>
              <w:snapToGrid w:val="0"/>
              <w:spacing w:before="200" w:line="288" w:lineRule="auto"/>
              <w:rPr>
                <w:rFonts w:ascii="Times New Roman" w:eastAsia="仿宋_GB2312" w:hAnsi="Times New Roman"/>
                <w:b/>
                <w:bCs/>
                <w:sz w:val="24"/>
                <w:szCs w:val="24"/>
              </w:rPr>
            </w:pPr>
            <w:r>
              <w:rPr>
                <w:rFonts w:ascii="Times New Roman" w:eastAsia="仿宋_GB2312" w:hAnsi="Times New Roman" w:hint="eastAsia"/>
                <w:sz w:val="24"/>
                <w:szCs w:val="24"/>
              </w:rPr>
              <w:t>Where a</w:t>
            </w:r>
            <w:r>
              <w:rPr>
                <w:rFonts w:ascii="Times New Roman" w:eastAsia="仿宋_GB2312" w:hAnsi="Times New Roman"/>
                <w:sz w:val="24"/>
                <w:szCs w:val="24"/>
              </w:rPr>
              <w:t xml:space="preserve"> Member delay</w:t>
            </w:r>
            <w:r>
              <w:rPr>
                <w:rFonts w:ascii="Times New Roman" w:eastAsia="仿宋_GB2312" w:hAnsi="Times New Roman" w:hint="eastAsia"/>
                <w:sz w:val="24"/>
                <w:szCs w:val="24"/>
              </w:rPr>
              <w:t>s</w:t>
            </w:r>
            <w:r>
              <w:rPr>
                <w:rFonts w:ascii="Times New Roman" w:eastAsia="仿宋_GB2312" w:hAnsi="Times New Roman"/>
                <w:sz w:val="24"/>
                <w:szCs w:val="24"/>
              </w:rPr>
              <w:t xml:space="preserve"> </w:t>
            </w:r>
            <w:r>
              <w:rPr>
                <w:rFonts w:ascii="Times New Roman" w:eastAsia="仿宋_GB2312" w:hAnsi="Times New Roman" w:hint="eastAsia"/>
                <w:sz w:val="24"/>
                <w:szCs w:val="24"/>
              </w:rPr>
              <w:t xml:space="preserve">or </w:t>
            </w:r>
            <w:r>
              <w:rPr>
                <w:rFonts w:ascii="Times New Roman" w:eastAsia="仿宋_GB2312" w:hAnsi="Times New Roman"/>
                <w:sz w:val="24"/>
                <w:szCs w:val="24"/>
              </w:rPr>
              <w:t>fail</w:t>
            </w:r>
            <w:r>
              <w:rPr>
                <w:rFonts w:ascii="Times New Roman" w:eastAsia="仿宋_GB2312" w:hAnsi="Times New Roman" w:hint="eastAsia"/>
                <w:sz w:val="24"/>
                <w:szCs w:val="24"/>
              </w:rPr>
              <w:t>s</w:t>
            </w:r>
            <w:r>
              <w:rPr>
                <w:rFonts w:ascii="Times New Roman" w:eastAsia="仿宋_GB2312" w:hAnsi="Times New Roman"/>
                <w:sz w:val="24"/>
                <w:szCs w:val="24"/>
              </w:rPr>
              <w:t xml:space="preserve"> </w:t>
            </w:r>
            <w:r>
              <w:rPr>
                <w:rFonts w:ascii="Times New Roman" w:eastAsia="仿宋_GB2312" w:hAnsi="Times New Roman" w:hint="eastAsia"/>
                <w:sz w:val="24"/>
                <w:szCs w:val="24"/>
              </w:rPr>
              <w:t>to submit</w:t>
            </w:r>
            <w:r>
              <w:rPr>
                <w:rFonts w:ascii="Times New Roman" w:eastAsia="仿宋_GB2312" w:hAnsi="Times New Roman"/>
                <w:sz w:val="24"/>
                <w:szCs w:val="24"/>
              </w:rPr>
              <w:t xml:space="preserve"> the </w:t>
            </w:r>
            <w:r>
              <w:rPr>
                <w:rFonts w:ascii="Times New Roman" w:eastAsia="仿宋_GB2312" w:hAnsi="Times New Roman" w:hint="eastAsia"/>
                <w:dstrike/>
                <w:sz w:val="24"/>
                <w:szCs w:val="24"/>
              </w:rPr>
              <w:t xml:space="preserve">common </w:t>
            </w:r>
            <w:r>
              <w:rPr>
                <w:rFonts w:ascii="Times New Roman" w:eastAsia="仿宋_GB2312" w:hAnsi="Times New Roman"/>
                <w:sz w:val="24"/>
                <w:szCs w:val="24"/>
              </w:rPr>
              <w:t xml:space="preserve">VAT invoice, it shall be handled in accordance with the applicable provisions of the </w:t>
            </w:r>
            <w:r>
              <w:rPr>
                <w:rFonts w:ascii="Times New Roman" w:eastAsia="仿宋_GB2312" w:hAnsi="Times New Roman"/>
                <w:i/>
                <w:iCs/>
                <w:sz w:val="24"/>
                <w:szCs w:val="24"/>
              </w:rPr>
              <w:t>Measures for Clearing Management of Dalian Commodity Exchange</w:t>
            </w:r>
            <w:r>
              <w:rPr>
                <w:rFonts w:ascii="Times New Roman" w:eastAsia="仿宋_GB2312" w:hAnsi="Times New Roman"/>
                <w:sz w:val="24"/>
                <w:szCs w:val="24"/>
              </w:rPr>
              <w:t xml:space="preserve">. </w:t>
            </w:r>
          </w:p>
        </w:tc>
      </w:tr>
      <w:tr w:rsidR="009E67C7" w:rsidTr="00864FCF">
        <w:tc>
          <w:tcPr>
            <w:tcW w:w="2500" w:type="pct"/>
            <w:tcBorders>
              <w:top w:val="single" w:sz="4" w:space="0" w:color="000000"/>
              <w:left w:val="single" w:sz="4" w:space="0" w:color="000000"/>
              <w:bottom w:val="single" w:sz="4" w:space="0" w:color="000000"/>
              <w:right w:val="single" w:sz="4" w:space="0" w:color="000000"/>
            </w:tcBorders>
          </w:tcPr>
          <w:p w:rsidR="009E67C7" w:rsidRDefault="009E67C7" w:rsidP="00864FCF">
            <w:pPr>
              <w:snapToGrid w:val="0"/>
              <w:spacing w:before="200" w:line="288" w:lineRule="auto"/>
              <w:rPr>
                <w:rFonts w:ascii="Times New Roman" w:eastAsia="仿宋_GB2312" w:hAnsi="Times New Roman"/>
                <w:sz w:val="24"/>
                <w:szCs w:val="24"/>
              </w:rPr>
            </w:pPr>
            <w:r>
              <w:rPr>
                <w:rFonts w:ascii="Times New Roman" w:eastAsia="仿宋_GB2312" w:hAnsi="Times New Roman" w:hint="eastAsia"/>
                <w:b/>
                <w:bCs/>
                <w:sz w:val="24"/>
                <w:szCs w:val="24"/>
              </w:rPr>
              <w:t>Article 49</w:t>
            </w:r>
            <w:r>
              <w:rPr>
                <w:rFonts w:ascii="Times New Roman" w:eastAsia="仿宋_GB2312" w:hAnsi="Times New Roman"/>
                <w:b/>
                <w:bCs/>
                <w:sz w:val="24"/>
                <w:szCs w:val="24"/>
              </w:rPr>
              <w:tab/>
            </w:r>
            <w:r>
              <w:rPr>
                <w:rFonts w:ascii="Times New Roman" w:eastAsia="仿宋_GB2312" w:hAnsi="Times New Roman"/>
                <w:sz w:val="24"/>
                <w:szCs w:val="24"/>
              </w:rPr>
              <w:t>……</w:t>
            </w:r>
          </w:p>
          <w:p w:rsidR="009E67C7" w:rsidRDefault="009E67C7" w:rsidP="00864FCF">
            <w:pPr>
              <w:snapToGrid w:val="0"/>
              <w:spacing w:before="200" w:line="288" w:lineRule="auto"/>
              <w:rPr>
                <w:rFonts w:ascii="Times New Roman" w:eastAsia="仿宋_GB2312" w:hAnsi="Times New Roman"/>
                <w:sz w:val="24"/>
                <w:szCs w:val="24"/>
              </w:rPr>
            </w:pPr>
            <w:r>
              <w:rPr>
                <w:rFonts w:ascii="Times New Roman" w:eastAsia="仿宋_GB2312" w:hAnsi="Times New Roman"/>
                <w:sz w:val="24"/>
                <w:szCs w:val="24"/>
              </w:rPr>
              <w:t xml:space="preserve">The delivery settlement price of One-off Delivery shall be the weighted average price of all trade prices of the futures contract during the period as of the first </w:t>
            </w:r>
            <w:r>
              <w:rPr>
                <w:rFonts w:ascii="Times New Roman" w:eastAsia="仿宋_GB2312" w:hAnsi="Times New Roman"/>
                <w:sz w:val="24"/>
                <w:szCs w:val="24"/>
              </w:rPr>
              <w:lastRenderedPageBreak/>
              <w:t xml:space="preserve">trading day of the delivery month through the last trading day thereof. Where the detailed rules of eggs, ethylene glycol, </w:t>
            </w:r>
            <w:proofErr w:type="spellStart"/>
            <w:r>
              <w:rPr>
                <w:rFonts w:ascii="Times New Roman" w:eastAsia="仿宋_GB2312" w:hAnsi="Times New Roman"/>
                <w:sz w:val="24"/>
                <w:szCs w:val="24"/>
              </w:rPr>
              <w:t>ethenylbenzene</w:t>
            </w:r>
            <w:proofErr w:type="spellEnd"/>
            <w:r>
              <w:rPr>
                <w:rFonts w:ascii="Times New Roman" w:eastAsia="仿宋_GB2312" w:hAnsi="Times New Roman"/>
                <w:sz w:val="24"/>
                <w:szCs w:val="24"/>
              </w:rPr>
              <w:t xml:space="preserve">, liquefied petroleum gas, live hog or other futures products stipulate otherwise, such stipulation shall prevail. </w:t>
            </w:r>
          </w:p>
        </w:tc>
        <w:tc>
          <w:tcPr>
            <w:tcW w:w="2500" w:type="pct"/>
            <w:tcBorders>
              <w:top w:val="single" w:sz="4" w:space="0" w:color="000000"/>
              <w:left w:val="single" w:sz="4" w:space="0" w:color="000000"/>
              <w:bottom w:val="single" w:sz="4" w:space="0" w:color="000000"/>
              <w:right w:val="single" w:sz="4" w:space="0" w:color="000000"/>
            </w:tcBorders>
          </w:tcPr>
          <w:p w:rsidR="009E67C7" w:rsidRDefault="009E67C7" w:rsidP="00864FCF">
            <w:pPr>
              <w:snapToGrid w:val="0"/>
              <w:spacing w:before="200" w:line="288" w:lineRule="auto"/>
              <w:rPr>
                <w:rFonts w:ascii="Times New Roman" w:eastAsia="仿宋_GB2312" w:hAnsi="Times New Roman"/>
                <w:sz w:val="24"/>
                <w:szCs w:val="24"/>
              </w:rPr>
            </w:pPr>
            <w:r>
              <w:rPr>
                <w:rFonts w:ascii="Times New Roman" w:eastAsia="仿宋_GB2312" w:hAnsi="Times New Roman" w:hint="eastAsia"/>
                <w:b/>
                <w:bCs/>
                <w:sz w:val="24"/>
                <w:szCs w:val="24"/>
              </w:rPr>
              <w:lastRenderedPageBreak/>
              <w:t>Article 49</w:t>
            </w:r>
            <w:r>
              <w:rPr>
                <w:rFonts w:ascii="Times New Roman" w:eastAsia="仿宋_GB2312" w:hAnsi="Times New Roman"/>
                <w:b/>
                <w:bCs/>
                <w:sz w:val="24"/>
                <w:szCs w:val="24"/>
              </w:rPr>
              <w:tab/>
            </w:r>
            <w:r>
              <w:rPr>
                <w:rFonts w:ascii="Times New Roman" w:eastAsia="仿宋_GB2312" w:hAnsi="Times New Roman"/>
                <w:sz w:val="24"/>
                <w:szCs w:val="24"/>
              </w:rPr>
              <w:t>……</w:t>
            </w:r>
          </w:p>
          <w:p w:rsidR="009E67C7" w:rsidRDefault="009E67C7" w:rsidP="00864FCF">
            <w:pPr>
              <w:snapToGrid w:val="0"/>
              <w:spacing w:before="200" w:line="288" w:lineRule="auto"/>
              <w:rPr>
                <w:rFonts w:ascii="Times New Roman" w:eastAsia="仿宋_GB2312" w:hAnsi="Times New Roman"/>
                <w:b/>
                <w:bCs/>
                <w:sz w:val="24"/>
                <w:szCs w:val="24"/>
              </w:rPr>
            </w:pPr>
            <w:r>
              <w:rPr>
                <w:rFonts w:ascii="Times New Roman" w:eastAsia="仿宋_GB2312" w:hAnsi="Times New Roman"/>
                <w:sz w:val="24"/>
                <w:szCs w:val="24"/>
              </w:rPr>
              <w:t xml:space="preserve">The delivery settlement price of One-off Delivery shall be the weighted average price of all trade prices of the futures contract during the period as of the first </w:t>
            </w:r>
            <w:r>
              <w:rPr>
                <w:rFonts w:ascii="Times New Roman" w:eastAsia="仿宋_GB2312" w:hAnsi="Times New Roman"/>
                <w:sz w:val="24"/>
                <w:szCs w:val="24"/>
              </w:rPr>
              <w:lastRenderedPageBreak/>
              <w:t xml:space="preserve">trading day of the delivery month through the last trading day thereof. Where the detailed rules of eggs, ethylene glycol, </w:t>
            </w:r>
            <w:proofErr w:type="spellStart"/>
            <w:r>
              <w:rPr>
                <w:rFonts w:ascii="Times New Roman" w:eastAsia="仿宋_GB2312" w:hAnsi="Times New Roman"/>
                <w:sz w:val="24"/>
                <w:szCs w:val="24"/>
              </w:rPr>
              <w:t>ethenylbenzene</w:t>
            </w:r>
            <w:proofErr w:type="spellEnd"/>
            <w:r>
              <w:rPr>
                <w:rFonts w:ascii="Times New Roman" w:eastAsia="仿宋_GB2312" w:hAnsi="Times New Roman"/>
                <w:sz w:val="24"/>
                <w:szCs w:val="24"/>
              </w:rPr>
              <w:t>, liquefied petroleum gas, live hog</w:t>
            </w:r>
            <w:r>
              <w:rPr>
                <w:rFonts w:ascii="Times New Roman" w:eastAsia="仿宋_GB2312" w:hAnsi="Times New Roman" w:hint="eastAsia"/>
                <w:sz w:val="24"/>
                <w:szCs w:val="24"/>
                <w:highlight w:val="lightGray"/>
              </w:rPr>
              <w:t>, log</w:t>
            </w:r>
            <w:r>
              <w:rPr>
                <w:rFonts w:ascii="Times New Roman" w:eastAsia="仿宋_GB2312" w:hAnsi="Times New Roman"/>
                <w:sz w:val="24"/>
                <w:szCs w:val="24"/>
              </w:rPr>
              <w:t xml:space="preserve"> or other futures products stipulate otherwise, such stipulation shall prevail. </w:t>
            </w:r>
          </w:p>
        </w:tc>
      </w:tr>
    </w:tbl>
    <w:p w:rsidR="009E67C7" w:rsidRDefault="009E67C7" w:rsidP="009E67C7">
      <w:pPr>
        <w:adjustRightInd w:val="0"/>
        <w:snapToGrid w:val="0"/>
        <w:spacing w:before="200" w:line="288" w:lineRule="auto"/>
        <w:jc w:val="center"/>
        <w:rPr>
          <w:rFonts w:ascii="Times New Roman" w:hAnsi="Times New Roman"/>
          <w:b/>
          <w:bCs/>
          <w:sz w:val="24"/>
          <w:szCs w:val="24"/>
        </w:rPr>
      </w:pPr>
    </w:p>
    <w:p w:rsidR="009E67C7" w:rsidRDefault="009E67C7" w:rsidP="009E67C7">
      <w:pPr>
        <w:widowControl/>
        <w:jc w:val="left"/>
        <w:rPr>
          <w:rFonts w:ascii="Times New Roman" w:hAnsi="Times New Roman"/>
          <w:b/>
          <w:bCs/>
          <w:sz w:val="24"/>
          <w:szCs w:val="24"/>
        </w:rPr>
      </w:pPr>
      <w:r>
        <w:rPr>
          <w:rFonts w:ascii="Times New Roman" w:hAnsi="Times New Roman"/>
          <w:b/>
          <w:bCs/>
          <w:sz w:val="24"/>
          <w:szCs w:val="24"/>
        </w:rPr>
        <w:br w:type="page"/>
      </w:r>
    </w:p>
    <w:p w:rsidR="009E67C7" w:rsidRDefault="009E67C7" w:rsidP="009E67C7">
      <w:pPr>
        <w:adjustRightInd w:val="0"/>
        <w:snapToGrid w:val="0"/>
        <w:spacing w:before="200" w:line="288" w:lineRule="auto"/>
        <w:jc w:val="center"/>
        <w:rPr>
          <w:rFonts w:ascii="Times New Roman" w:hAnsi="Times New Roman"/>
          <w:b/>
          <w:bCs/>
          <w:sz w:val="24"/>
          <w:szCs w:val="24"/>
        </w:rPr>
      </w:pPr>
    </w:p>
    <w:p w:rsidR="009E67C7" w:rsidRDefault="009E67C7" w:rsidP="009E67C7">
      <w:pPr>
        <w:adjustRightInd w:val="0"/>
        <w:snapToGrid w:val="0"/>
        <w:spacing w:before="200" w:line="288" w:lineRule="auto"/>
        <w:jc w:val="center"/>
        <w:outlineLvl w:val="1"/>
        <w:rPr>
          <w:rFonts w:ascii="Times New Roman" w:hAnsi="Times New Roman" w:cs="Times New Roman"/>
          <w:b/>
          <w:sz w:val="24"/>
          <w:szCs w:val="24"/>
        </w:rPr>
      </w:pPr>
      <w:r>
        <w:rPr>
          <w:rFonts w:ascii="Times New Roman" w:hAnsi="Times New Roman" w:hint="eastAsia"/>
          <w:b/>
          <w:bCs/>
          <w:sz w:val="24"/>
          <w:szCs w:val="24"/>
        </w:rPr>
        <w:t xml:space="preserve">3. </w:t>
      </w:r>
      <w:r>
        <w:rPr>
          <w:rFonts w:ascii="Times New Roman" w:eastAsia="仿宋_GB2312" w:hAnsi="Times New Roman"/>
          <w:b/>
          <w:sz w:val="24"/>
          <w:szCs w:val="24"/>
        </w:rPr>
        <w:t xml:space="preserve">Comparison Table of the Amendments to the </w:t>
      </w:r>
      <w:r>
        <w:rPr>
          <w:rFonts w:ascii="Times New Roman" w:hAnsi="Times New Roman"/>
          <w:b/>
          <w:bCs/>
          <w:sz w:val="24"/>
          <w:szCs w:val="24"/>
        </w:rPr>
        <w:t>Measures for Risk Management of Dalian Commodity Exchange</w:t>
      </w:r>
    </w:p>
    <w:p w:rsidR="009E67C7" w:rsidRDefault="009E67C7" w:rsidP="009E67C7">
      <w:pPr>
        <w:jc w:val="center"/>
        <w:rPr>
          <w:rFonts w:ascii="Times New Roman" w:eastAsia="楷体_GB2312" w:hAnsi="Times New Roman"/>
          <w:color w:val="000000"/>
          <w:sz w:val="24"/>
          <w:szCs w:val="24"/>
        </w:rPr>
      </w:pPr>
      <w:r>
        <w:rPr>
          <w:rFonts w:ascii="Times New Roman" w:eastAsia="楷体_GB2312" w:hAnsi="Times New Roman"/>
          <w:color w:val="000000"/>
          <w:sz w:val="24"/>
          <w:szCs w:val="24"/>
        </w:rPr>
        <w:t>(Contents newly added are in shade and clauses unchanged are represented by ellipsis.)</w:t>
      </w:r>
    </w:p>
    <w:tbl>
      <w:tblPr>
        <w:tblStyle w:val="af0"/>
        <w:tblW w:w="0" w:type="auto"/>
        <w:tblLook w:val="04A0" w:firstRow="1" w:lastRow="0" w:firstColumn="1" w:lastColumn="0" w:noHBand="0" w:noVBand="1"/>
      </w:tblPr>
      <w:tblGrid>
        <w:gridCol w:w="4360"/>
        <w:gridCol w:w="4360"/>
      </w:tblGrid>
      <w:tr w:rsidR="009E67C7" w:rsidTr="00864FCF">
        <w:tc>
          <w:tcPr>
            <w:tcW w:w="4113" w:type="dxa"/>
          </w:tcPr>
          <w:p w:rsidR="009E67C7" w:rsidRDefault="009E67C7" w:rsidP="00864FCF">
            <w:pPr>
              <w:adjustRightInd w:val="0"/>
              <w:snapToGrid w:val="0"/>
              <w:spacing w:before="200" w:line="288" w:lineRule="auto"/>
              <w:jc w:val="center"/>
              <w:rPr>
                <w:rFonts w:ascii="Times New Roman" w:hAnsi="Times New Roman"/>
                <w:b/>
                <w:bCs/>
                <w:sz w:val="24"/>
                <w:szCs w:val="24"/>
              </w:rPr>
            </w:pPr>
            <w:r>
              <w:rPr>
                <w:rFonts w:ascii="Times New Roman" w:eastAsia="仿宋_GB2312" w:hAnsi="Times New Roman"/>
                <w:b/>
                <w:bCs/>
                <w:sz w:val="24"/>
                <w:szCs w:val="24"/>
              </w:rPr>
              <w:t>Original Articles</w:t>
            </w:r>
          </w:p>
        </w:tc>
        <w:tc>
          <w:tcPr>
            <w:tcW w:w="4607" w:type="dxa"/>
          </w:tcPr>
          <w:p w:rsidR="009E67C7" w:rsidRDefault="009E67C7" w:rsidP="00864FCF">
            <w:pPr>
              <w:adjustRightInd w:val="0"/>
              <w:snapToGrid w:val="0"/>
              <w:spacing w:before="200" w:line="288" w:lineRule="auto"/>
              <w:jc w:val="center"/>
              <w:rPr>
                <w:rFonts w:ascii="Times New Roman" w:hAnsi="Times New Roman"/>
                <w:b/>
                <w:bCs/>
                <w:sz w:val="24"/>
                <w:szCs w:val="24"/>
              </w:rPr>
            </w:pPr>
            <w:r>
              <w:rPr>
                <w:rFonts w:ascii="Times New Roman" w:eastAsia="仿宋_GB2312" w:hAnsi="Times New Roman"/>
                <w:b/>
                <w:bCs/>
                <w:sz w:val="24"/>
                <w:szCs w:val="24"/>
              </w:rPr>
              <w:t>Amended Articles</w:t>
            </w:r>
          </w:p>
        </w:tc>
      </w:tr>
      <w:tr w:rsidR="009E67C7" w:rsidTr="00864FCF">
        <w:tc>
          <w:tcPr>
            <w:tcW w:w="4113" w:type="dxa"/>
          </w:tcPr>
          <w:p w:rsidR="009E67C7" w:rsidRDefault="009E67C7" w:rsidP="00864FCF">
            <w:pPr>
              <w:autoSpaceDE w:val="0"/>
              <w:autoSpaceDN w:val="0"/>
              <w:adjustRightInd w:val="0"/>
              <w:snapToGrid w:val="0"/>
              <w:spacing w:before="200" w:line="288" w:lineRule="auto"/>
              <w:rPr>
                <w:rFonts w:ascii="Times New Roman" w:hAnsi="Times New Roman"/>
                <w:snapToGrid w:val="0"/>
                <w:kern w:val="0"/>
                <w:position w:val="-2"/>
                <w:sz w:val="24"/>
                <w:szCs w:val="24"/>
              </w:rPr>
            </w:pPr>
            <w:r>
              <w:rPr>
                <w:rFonts w:ascii="Times New Roman" w:eastAsia="仿宋_GB2312" w:hAnsi="Times New Roman" w:hint="eastAsia"/>
                <w:b/>
                <w:bCs/>
                <w:sz w:val="24"/>
                <w:szCs w:val="24"/>
              </w:rPr>
              <w:t>Article 29</w:t>
            </w:r>
            <w:r>
              <w:rPr>
                <w:rFonts w:ascii="Times New Roman" w:eastAsia="仿宋_GB2312" w:hAnsi="Times New Roman"/>
                <w:b/>
                <w:bCs/>
                <w:sz w:val="24"/>
                <w:szCs w:val="24"/>
              </w:rPr>
              <w:tab/>
            </w:r>
            <w:r>
              <w:rPr>
                <w:rFonts w:ascii="Times New Roman" w:hAnsi="Times New Roman"/>
                <w:kern w:val="0"/>
                <w:sz w:val="24"/>
                <w:szCs w:val="24"/>
              </w:rPr>
              <w:t>Position limits of futures contracts of each product shall be as follows:</w:t>
            </w:r>
          </w:p>
          <w:p w:rsidR="009E67C7" w:rsidRDefault="009E67C7" w:rsidP="00864FCF">
            <w:pPr>
              <w:autoSpaceDE w:val="0"/>
              <w:autoSpaceDN w:val="0"/>
              <w:adjustRightInd w:val="0"/>
              <w:snapToGrid w:val="0"/>
              <w:spacing w:before="200" w:line="288" w:lineRule="auto"/>
              <w:rPr>
                <w:rFonts w:ascii="Times New Roman" w:hAnsi="Times New Roman"/>
                <w:snapToGrid w:val="0"/>
                <w:kern w:val="0"/>
                <w:position w:val="-2"/>
                <w:sz w:val="24"/>
                <w:szCs w:val="24"/>
              </w:rPr>
            </w:pPr>
            <w:r>
              <w:rPr>
                <w:rFonts w:ascii="Times New Roman" w:hAnsi="Times New Roman" w:hint="eastAsia"/>
                <w:kern w:val="0"/>
                <w:sz w:val="24"/>
                <w:szCs w:val="24"/>
              </w:rPr>
              <w:t xml:space="preserve">(1) </w:t>
            </w:r>
            <w:r>
              <w:rPr>
                <w:rFonts w:ascii="Times New Roman" w:hAnsi="Times New Roman"/>
                <w:kern w:val="0"/>
                <w:sz w:val="24"/>
                <w:szCs w:val="24"/>
              </w:rPr>
              <w:t>products other than the iron ore, egg and live hog</w:t>
            </w:r>
          </w:p>
          <w:p w:rsidR="009E67C7" w:rsidRDefault="009E67C7" w:rsidP="00864FCF">
            <w:pPr>
              <w:autoSpaceDE w:val="0"/>
              <w:autoSpaceDN w:val="0"/>
              <w:adjustRightInd w:val="0"/>
              <w:snapToGrid w:val="0"/>
              <w:spacing w:before="200" w:line="288" w:lineRule="auto"/>
              <w:rPr>
                <w:rFonts w:ascii="Times New Roman" w:hAnsi="Times New Roman"/>
                <w:kern w:val="0"/>
                <w:sz w:val="24"/>
                <w:szCs w:val="24"/>
              </w:rPr>
            </w:pPr>
            <w:r>
              <w:rPr>
                <w:rFonts w:ascii="Times New Roman" w:hAnsi="Times New Roman" w:hint="eastAsia"/>
                <w:kern w:val="0"/>
                <w:sz w:val="24"/>
                <w:szCs w:val="24"/>
              </w:rPr>
              <w:t xml:space="preserve">(a) </w:t>
            </w:r>
            <w:r>
              <w:rPr>
                <w:rFonts w:ascii="Times New Roman" w:hAnsi="Times New Roman"/>
                <w:kern w:val="0"/>
                <w:sz w:val="24"/>
                <w:szCs w:val="24"/>
              </w:rPr>
              <w:t>During the general months of the futures contract of a certain product other than the iron ore, egg and live hog (from the listing of the contract to the fourteenth trading day of the month immediately preceding the delivery mont</w:t>
            </w:r>
            <w:bookmarkStart w:id="0" w:name="_GoBack"/>
            <w:bookmarkEnd w:id="0"/>
            <w:r>
              <w:rPr>
                <w:rFonts w:ascii="Times New Roman" w:hAnsi="Times New Roman"/>
                <w:kern w:val="0"/>
                <w:sz w:val="24"/>
                <w:szCs w:val="24"/>
              </w:rPr>
              <w:t xml:space="preserve">h), the position limit applicable to the Non-Futures Company Member, the OSNBP and the client shall be as follows: </w:t>
            </w:r>
          </w:p>
          <w:p w:rsidR="009E67C7" w:rsidRDefault="009E67C7" w:rsidP="00864FCF">
            <w:pPr>
              <w:widowControl/>
              <w:adjustRightInd w:val="0"/>
              <w:snapToGrid w:val="0"/>
              <w:spacing w:before="200" w:line="288" w:lineRule="auto"/>
              <w:rPr>
                <w:rFonts w:ascii="Times New Roman" w:hAnsi="Times New Roman"/>
                <w:kern w:val="0"/>
                <w:sz w:val="24"/>
                <w:szCs w:val="24"/>
              </w:rPr>
            </w:pPr>
            <w:r>
              <w:rPr>
                <w:rFonts w:ascii="Times New Roman" w:hAnsi="Times New Roman"/>
                <w:kern w:val="0"/>
                <w:sz w:val="24"/>
                <w:szCs w:val="24"/>
              </w:rPr>
              <w:t>(Unit: Lot)</w:t>
            </w:r>
          </w:p>
          <w:tbl>
            <w:tblPr>
              <w:tblW w:w="0" w:type="auto"/>
              <w:jc w:val="right"/>
              <w:tblCellMar>
                <w:left w:w="0" w:type="dxa"/>
                <w:right w:w="0" w:type="dxa"/>
              </w:tblCellMar>
              <w:tblLook w:val="04A0" w:firstRow="1" w:lastRow="0" w:firstColumn="1" w:lastColumn="0" w:noHBand="0" w:noVBand="1"/>
            </w:tblPr>
            <w:tblGrid>
              <w:gridCol w:w="959"/>
              <w:gridCol w:w="1006"/>
              <w:gridCol w:w="1238"/>
              <w:gridCol w:w="931"/>
            </w:tblGrid>
            <w:tr w:rsidR="009E67C7" w:rsidTr="00864FCF">
              <w:trPr>
                <w:trHeight w:val="465"/>
                <w:jc w:val="right"/>
              </w:trPr>
              <w:tc>
                <w:tcPr>
                  <w:tcW w:w="959" w:type="dxa"/>
                  <w:tcBorders>
                    <w:top w:val="single" w:sz="4" w:space="0" w:color="231F20"/>
                    <w:left w:val="single" w:sz="4"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Product</w:t>
                  </w:r>
                </w:p>
              </w:tc>
              <w:tc>
                <w:tcPr>
                  <w:tcW w:w="1006" w:type="dxa"/>
                  <w:tcBorders>
                    <w:top w:val="single" w:sz="4"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Unilateral Open Interest of Contract</w:t>
                  </w:r>
                </w:p>
              </w:tc>
              <w:tc>
                <w:tcPr>
                  <w:tcW w:w="1238" w:type="dxa"/>
                  <w:tcBorders>
                    <w:top w:val="single" w:sz="4"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Non-Futures Company Member</w:t>
                  </w:r>
                </w:p>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/OSNBP</w:t>
                  </w:r>
                </w:p>
              </w:tc>
              <w:tc>
                <w:tcPr>
                  <w:tcW w:w="931" w:type="dxa"/>
                  <w:tcBorders>
                    <w:top w:val="single" w:sz="4" w:space="0" w:color="231F20"/>
                    <w:left w:val="single" w:sz="2" w:space="0" w:color="231F20"/>
                    <w:bottom w:val="single" w:sz="4" w:space="0" w:color="231F20"/>
                    <w:right w:val="single" w:sz="4"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Client</w:t>
                  </w:r>
                </w:p>
              </w:tc>
            </w:tr>
            <w:tr w:rsidR="009E67C7" w:rsidTr="00864FCF">
              <w:trPr>
                <w:trHeight w:val="465"/>
                <w:jc w:val="right"/>
              </w:trPr>
              <w:tc>
                <w:tcPr>
                  <w:tcW w:w="959" w:type="dxa"/>
                  <w:tcBorders>
                    <w:top w:val="single" w:sz="4" w:space="0" w:color="231F20"/>
                    <w:left w:val="single" w:sz="4"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Cs/>
                      <w:snapToGrid w:val="0"/>
                      <w:w w:val="102"/>
                      <w:kern w:val="0"/>
                      <w:sz w:val="24"/>
                      <w:szCs w:val="24"/>
                    </w:rPr>
                    <w:t>……</w:t>
                  </w:r>
                </w:p>
              </w:tc>
              <w:tc>
                <w:tcPr>
                  <w:tcW w:w="1006" w:type="dxa"/>
                  <w:tcBorders>
                    <w:top w:val="single" w:sz="4"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Cs/>
                      <w:snapToGrid w:val="0"/>
                      <w:w w:val="102"/>
                      <w:kern w:val="0"/>
                      <w:sz w:val="24"/>
                      <w:szCs w:val="24"/>
                    </w:rPr>
                    <w:t>……</w:t>
                  </w:r>
                </w:p>
              </w:tc>
              <w:tc>
                <w:tcPr>
                  <w:tcW w:w="1238" w:type="dxa"/>
                  <w:tcBorders>
                    <w:top w:val="single" w:sz="4"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Cs/>
                      <w:snapToGrid w:val="0"/>
                      <w:w w:val="102"/>
                      <w:kern w:val="0"/>
                      <w:sz w:val="24"/>
                      <w:szCs w:val="24"/>
                    </w:rPr>
                    <w:t>……</w:t>
                  </w:r>
                </w:p>
              </w:tc>
              <w:tc>
                <w:tcPr>
                  <w:tcW w:w="931" w:type="dxa"/>
                  <w:tcBorders>
                    <w:top w:val="single" w:sz="4" w:space="0" w:color="231F20"/>
                    <w:left w:val="single" w:sz="2" w:space="0" w:color="231F20"/>
                    <w:bottom w:val="single" w:sz="4" w:space="0" w:color="231F20"/>
                    <w:right w:val="single" w:sz="4"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Cs/>
                      <w:snapToGrid w:val="0"/>
                      <w:w w:val="102"/>
                      <w:kern w:val="0"/>
                      <w:sz w:val="24"/>
                      <w:szCs w:val="24"/>
                    </w:rPr>
                    <w:t>……</w:t>
                  </w:r>
                </w:p>
              </w:tc>
            </w:tr>
            <w:tr w:rsidR="009E67C7" w:rsidTr="00864FCF">
              <w:trPr>
                <w:trHeight w:val="465"/>
                <w:jc w:val="right"/>
              </w:trPr>
              <w:tc>
                <w:tcPr>
                  <w:tcW w:w="959" w:type="dxa"/>
                  <w:vMerge w:val="restart"/>
                  <w:tcBorders>
                    <w:top w:val="single" w:sz="4" w:space="0" w:color="auto"/>
                    <w:left w:val="single" w:sz="4" w:space="0" w:color="auto"/>
                    <w:bottom w:val="single" w:sz="4" w:space="0" w:color="auto"/>
                    <w:right w:val="single" w:sz="4" w:space="0" w:color="auto"/>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Liquefied Petroleum Gas</w:t>
                  </w:r>
                </w:p>
              </w:tc>
              <w:tc>
                <w:tcPr>
                  <w:tcW w:w="1006" w:type="dxa"/>
                  <w:tcBorders>
                    <w:top w:val="single" w:sz="2" w:space="0" w:color="231F20"/>
                    <w:left w:val="single" w:sz="4" w:space="0" w:color="auto"/>
                    <w:bottom w:val="single" w:sz="2"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hint="eastAsia"/>
                      <w:snapToGrid w:val="0"/>
                      <w:w w:val="102"/>
                      <w:kern w:val="0"/>
                      <w:sz w:val="24"/>
                      <w:szCs w:val="24"/>
                    </w:rPr>
                    <w:t>80,000</w:t>
                  </w:r>
                </w:p>
              </w:tc>
              <w:tc>
                <w:tcPr>
                  <w:tcW w:w="1238" w:type="dxa"/>
                  <w:tcBorders>
                    <w:top w:val="single" w:sz="2" w:space="0" w:color="231F20"/>
                    <w:left w:val="single" w:sz="2" w:space="0" w:color="231F20"/>
                    <w:bottom w:val="single" w:sz="2"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8,000</w:t>
                  </w:r>
                </w:p>
              </w:tc>
              <w:tc>
                <w:tcPr>
                  <w:tcW w:w="931" w:type="dxa"/>
                  <w:tcBorders>
                    <w:top w:val="single" w:sz="2" w:space="0" w:color="231F20"/>
                    <w:left w:val="single" w:sz="2" w:space="0" w:color="231F20"/>
                    <w:bottom w:val="single" w:sz="2" w:space="0" w:color="231F20"/>
                    <w:right w:val="single" w:sz="4"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8,000</w:t>
                  </w:r>
                </w:p>
              </w:tc>
            </w:tr>
            <w:tr w:rsidR="009E67C7" w:rsidTr="00864FCF">
              <w:trPr>
                <w:trHeight w:val="465"/>
                <w:jc w:val="right"/>
              </w:trPr>
              <w:tc>
                <w:tcPr>
                  <w:tcW w:w="959" w:type="dxa"/>
                  <w:vMerge/>
                  <w:tcBorders>
                    <w:top w:val="single" w:sz="4" w:space="0" w:color="auto"/>
                    <w:left w:val="single" w:sz="4" w:space="0" w:color="auto"/>
                    <w:bottom w:val="single" w:sz="4" w:space="0" w:color="auto"/>
                    <w:right w:val="single" w:sz="4" w:space="0" w:color="auto"/>
                  </w:tcBorders>
                  <w:vAlign w:val="center"/>
                </w:tcPr>
                <w:p w:rsidR="009E67C7" w:rsidRDefault="009E67C7"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006" w:type="dxa"/>
                  <w:tcBorders>
                    <w:top w:val="single" w:sz="2" w:space="0" w:color="231F20"/>
                    <w:left w:val="single" w:sz="4" w:space="0" w:color="auto"/>
                    <w:bottom w:val="single" w:sz="2"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w:t>
                  </w:r>
                  <w:r>
                    <w:rPr>
                      <w:rFonts w:ascii="Times New Roman" w:hAnsi="Times New Roman"/>
                      <w:snapToGrid w:val="0"/>
                      <w:w w:val="102"/>
                      <w:kern w:val="0"/>
                      <w:sz w:val="24"/>
                      <w:szCs w:val="24"/>
                    </w:rPr>
                    <w:lastRenderedPageBreak/>
                    <w:t xml:space="preserve">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80,000</w:t>
                  </w:r>
                </w:p>
              </w:tc>
              <w:tc>
                <w:tcPr>
                  <w:tcW w:w="1238" w:type="dxa"/>
                  <w:tcBorders>
                    <w:top w:val="single" w:sz="2" w:space="0" w:color="231F20"/>
                    <w:left w:val="single" w:sz="2" w:space="0" w:color="231F20"/>
                    <w:bottom w:val="single" w:sz="2"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lastRenderedPageBreak/>
                    <w:t xml:space="preserve">Unilateral open </w:t>
                  </w:r>
                  <w:r>
                    <w:rPr>
                      <w:rFonts w:ascii="Times New Roman" w:hAnsi="Times New Roman"/>
                      <w:snapToGrid w:val="0"/>
                      <w:w w:val="102"/>
                      <w:kern w:val="0"/>
                      <w:sz w:val="24"/>
                      <w:szCs w:val="24"/>
                    </w:rPr>
                    <w:lastRenderedPageBreak/>
                    <w:t>interest×10%</w:t>
                  </w:r>
                </w:p>
              </w:tc>
              <w:tc>
                <w:tcPr>
                  <w:tcW w:w="931" w:type="dxa"/>
                  <w:tcBorders>
                    <w:top w:val="single" w:sz="2" w:space="0" w:color="231F20"/>
                    <w:left w:val="single" w:sz="2" w:space="0" w:color="231F20"/>
                    <w:bottom w:val="single" w:sz="2" w:space="0" w:color="231F20"/>
                    <w:right w:val="single" w:sz="4"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lastRenderedPageBreak/>
                    <w:t xml:space="preserve">Unilateral open </w:t>
                  </w:r>
                  <w:r>
                    <w:rPr>
                      <w:rFonts w:ascii="Times New Roman" w:hAnsi="Times New Roman"/>
                      <w:snapToGrid w:val="0"/>
                      <w:w w:val="102"/>
                      <w:kern w:val="0"/>
                      <w:sz w:val="24"/>
                      <w:szCs w:val="24"/>
                    </w:rPr>
                    <w:lastRenderedPageBreak/>
                    <w:t>interest ×10%</w:t>
                  </w:r>
                </w:p>
              </w:tc>
            </w:tr>
          </w:tbl>
          <w:p w:rsidR="009E67C7" w:rsidRDefault="009E67C7" w:rsidP="00864FCF">
            <w:pPr>
              <w:autoSpaceDE w:val="0"/>
              <w:autoSpaceDN w:val="0"/>
              <w:adjustRightInd w:val="0"/>
              <w:snapToGrid w:val="0"/>
              <w:spacing w:before="200" w:line="288" w:lineRule="auto"/>
              <w:rPr>
                <w:rFonts w:ascii="Times New Roman" w:hAnsi="Times New Roman"/>
                <w:snapToGrid w:val="0"/>
                <w:kern w:val="0"/>
                <w:sz w:val="24"/>
                <w:szCs w:val="24"/>
              </w:rPr>
            </w:pPr>
            <w:r>
              <w:rPr>
                <w:rFonts w:ascii="Times New Roman" w:hAnsi="Times New Roman" w:hint="eastAsia"/>
                <w:snapToGrid w:val="0"/>
                <w:kern w:val="0"/>
                <w:sz w:val="24"/>
                <w:szCs w:val="24"/>
              </w:rPr>
              <w:lastRenderedPageBreak/>
              <w:t xml:space="preserve">(b) </w:t>
            </w:r>
            <w:r>
              <w:rPr>
                <w:rFonts w:ascii="Times New Roman" w:hAnsi="Times New Roman"/>
                <w:snapToGrid w:val="0"/>
                <w:kern w:val="0"/>
                <w:sz w:val="24"/>
                <w:szCs w:val="24"/>
              </w:rPr>
              <w:t>During the period from the fifteenth trading day of the month immediately preceding the delivery month to the delivery month, the position limit applicable to the Non-Futures Company Member, the OSNBP and the client for any product other than the iron ore, egg and live hog is shown in the table below, and the position limit applicable to the individual client during the delivery month shall be zero (0):</w:t>
            </w:r>
          </w:p>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kern w:val="0"/>
                <w:sz w:val="24"/>
                <w:szCs w:val="24"/>
              </w:rPr>
            </w:pPr>
            <w:r>
              <w:rPr>
                <w:rFonts w:ascii="Times New Roman" w:hAnsi="Times New Roman"/>
                <w:snapToGrid w:val="0"/>
                <w:kern w:val="0"/>
                <w:position w:val="-1"/>
                <w:sz w:val="24"/>
                <w:szCs w:val="24"/>
              </w:rPr>
              <w:t>(Unit: Lot)</w:t>
            </w:r>
          </w:p>
          <w:tbl>
            <w:tblPr>
              <w:tblW w:w="5000" w:type="pct"/>
              <w:jc w:val="right"/>
              <w:tblCellMar>
                <w:left w:w="0" w:type="dxa"/>
                <w:right w:w="0" w:type="dxa"/>
              </w:tblCellMar>
              <w:tblLook w:val="04A0" w:firstRow="1" w:lastRow="0" w:firstColumn="1" w:lastColumn="0" w:noHBand="0" w:noVBand="1"/>
            </w:tblPr>
            <w:tblGrid>
              <w:gridCol w:w="1016"/>
              <w:gridCol w:w="1235"/>
              <w:gridCol w:w="1236"/>
              <w:gridCol w:w="647"/>
            </w:tblGrid>
            <w:tr w:rsidR="009E67C7" w:rsidTr="00864FCF">
              <w:trPr>
                <w:trHeight w:val="465"/>
                <w:jc w:val="right"/>
              </w:trPr>
              <w:tc>
                <w:tcPr>
                  <w:tcW w:w="1229" w:type="pct"/>
                  <w:tcBorders>
                    <w:top w:val="single" w:sz="4" w:space="0" w:color="231F20"/>
                    <w:left w:val="single" w:sz="4"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Product</w:t>
                  </w:r>
                </w:p>
              </w:tc>
              <w:tc>
                <w:tcPr>
                  <w:tcW w:w="1494" w:type="pct"/>
                  <w:tcBorders>
                    <w:top w:val="single" w:sz="4"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Period</w:t>
                  </w:r>
                </w:p>
              </w:tc>
              <w:tc>
                <w:tcPr>
                  <w:tcW w:w="1495" w:type="pct"/>
                  <w:tcBorders>
                    <w:top w:val="single" w:sz="4"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Non-Futures Company Member</w:t>
                  </w:r>
                </w:p>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/OSNBP</w:t>
                  </w:r>
                </w:p>
              </w:tc>
              <w:tc>
                <w:tcPr>
                  <w:tcW w:w="783" w:type="pct"/>
                  <w:tcBorders>
                    <w:top w:val="single" w:sz="4" w:space="0" w:color="231F20"/>
                    <w:left w:val="single" w:sz="2" w:space="0" w:color="231F20"/>
                    <w:bottom w:val="single" w:sz="4" w:space="0" w:color="231F20"/>
                    <w:right w:val="single" w:sz="4"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Client</w:t>
                  </w:r>
                </w:p>
              </w:tc>
            </w:tr>
            <w:tr w:rsidR="009E67C7" w:rsidTr="00864FCF">
              <w:trPr>
                <w:trHeight w:val="465"/>
                <w:jc w:val="right"/>
              </w:trPr>
              <w:tc>
                <w:tcPr>
                  <w:tcW w:w="1229" w:type="pct"/>
                  <w:tcBorders>
                    <w:top w:val="single" w:sz="4" w:space="0" w:color="231F20"/>
                    <w:left w:val="single" w:sz="4"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Cs/>
                      <w:snapToGrid w:val="0"/>
                      <w:w w:val="102"/>
                      <w:kern w:val="0"/>
                      <w:sz w:val="24"/>
                      <w:szCs w:val="24"/>
                    </w:rPr>
                  </w:pPr>
                  <w:r>
                    <w:rPr>
                      <w:rFonts w:ascii="Times New Roman" w:hAnsi="Times New Roman"/>
                      <w:bCs/>
                      <w:snapToGrid w:val="0"/>
                      <w:w w:val="102"/>
                      <w:kern w:val="0"/>
                      <w:sz w:val="24"/>
                      <w:szCs w:val="24"/>
                    </w:rPr>
                    <w:t>……</w:t>
                  </w:r>
                </w:p>
              </w:tc>
              <w:tc>
                <w:tcPr>
                  <w:tcW w:w="1494" w:type="pct"/>
                  <w:tcBorders>
                    <w:top w:val="single" w:sz="4"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Cs/>
                      <w:snapToGrid w:val="0"/>
                      <w:w w:val="102"/>
                      <w:kern w:val="0"/>
                      <w:sz w:val="24"/>
                      <w:szCs w:val="24"/>
                    </w:rPr>
                    <w:t>……</w:t>
                  </w:r>
                </w:p>
              </w:tc>
              <w:tc>
                <w:tcPr>
                  <w:tcW w:w="1495" w:type="pct"/>
                  <w:tcBorders>
                    <w:top w:val="single" w:sz="4"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Cs/>
                      <w:snapToGrid w:val="0"/>
                      <w:w w:val="102"/>
                      <w:kern w:val="0"/>
                      <w:sz w:val="24"/>
                      <w:szCs w:val="24"/>
                    </w:rPr>
                    <w:t>……</w:t>
                  </w:r>
                </w:p>
              </w:tc>
              <w:tc>
                <w:tcPr>
                  <w:tcW w:w="783" w:type="pct"/>
                  <w:tcBorders>
                    <w:top w:val="single" w:sz="4" w:space="0" w:color="231F20"/>
                    <w:left w:val="single" w:sz="2" w:space="0" w:color="231F20"/>
                    <w:bottom w:val="single" w:sz="4" w:space="0" w:color="231F20"/>
                    <w:right w:val="single" w:sz="4"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Cs/>
                      <w:snapToGrid w:val="0"/>
                      <w:w w:val="102"/>
                      <w:kern w:val="0"/>
                      <w:sz w:val="24"/>
                      <w:szCs w:val="24"/>
                    </w:rPr>
                    <w:t>……</w:t>
                  </w:r>
                </w:p>
              </w:tc>
            </w:tr>
            <w:tr w:rsidR="009E67C7" w:rsidTr="00864FCF">
              <w:trPr>
                <w:trHeight w:val="465"/>
                <w:jc w:val="right"/>
              </w:trPr>
              <w:tc>
                <w:tcPr>
                  <w:tcW w:w="1229" w:type="pct"/>
                  <w:vMerge w:val="restart"/>
                  <w:tcBorders>
                    <w:top w:val="single" w:sz="4" w:space="0" w:color="auto"/>
                    <w:left w:val="single" w:sz="4" w:space="0" w:color="auto"/>
                    <w:bottom w:val="single" w:sz="4" w:space="0" w:color="auto"/>
                    <w:right w:val="single" w:sz="4" w:space="0" w:color="auto"/>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Liquefied Petroleum Gas</w:t>
                  </w:r>
                </w:p>
              </w:tc>
              <w:tc>
                <w:tcPr>
                  <w:tcW w:w="1494" w:type="pct"/>
                  <w:tcBorders>
                    <w:top w:val="single" w:sz="4" w:space="0" w:color="231F20"/>
                    <w:left w:val="single" w:sz="4" w:space="0" w:color="auto"/>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As from the fifteenth trading day of the month immediately preceding the delivery month</w:t>
                  </w:r>
                </w:p>
              </w:tc>
              <w:tc>
                <w:tcPr>
                  <w:tcW w:w="1495" w:type="pct"/>
                  <w:tcBorders>
                    <w:top w:val="single" w:sz="4"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1,000</w:t>
                  </w:r>
                </w:p>
              </w:tc>
              <w:tc>
                <w:tcPr>
                  <w:tcW w:w="783" w:type="pct"/>
                  <w:tcBorders>
                    <w:top w:val="single" w:sz="4" w:space="0" w:color="231F20"/>
                    <w:left w:val="single" w:sz="2" w:space="0" w:color="231F20"/>
                    <w:bottom w:val="single" w:sz="4" w:space="0" w:color="231F20"/>
                    <w:right w:val="single" w:sz="4"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1,000</w:t>
                  </w:r>
                </w:p>
              </w:tc>
            </w:tr>
            <w:tr w:rsidR="009E67C7" w:rsidTr="00864FCF">
              <w:trPr>
                <w:trHeight w:val="465"/>
                <w:jc w:val="right"/>
              </w:trPr>
              <w:tc>
                <w:tcPr>
                  <w:tcW w:w="1229" w:type="pct"/>
                  <w:vMerge/>
                  <w:tcBorders>
                    <w:top w:val="single" w:sz="4" w:space="0" w:color="auto"/>
                    <w:left w:val="single" w:sz="4" w:space="0" w:color="auto"/>
                    <w:bottom w:val="single" w:sz="4" w:space="0" w:color="auto"/>
                    <w:right w:val="single" w:sz="4" w:space="0" w:color="auto"/>
                  </w:tcBorders>
                  <w:vAlign w:val="center"/>
                </w:tcPr>
                <w:p w:rsidR="009E67C7" w:rsidRDefault="009E67C7"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494" w:type="pct"/>
                  <w:tcBorders>
                    <w:top w:val="single" w:sz="4" w:space="0" w:color="231F20"/>
                    <w:left w:val="single" w:sz="4" w:space="0" w:color="auto"/>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1495" w:type="pct"/>
                  <w:tcBorders>
                    <w:top w:val="single" w:sz="4"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w:t>
                  </w:r>
                </w:p>
              </w:tc>
              <w:tc>
                <w:tcPr>
                  <w:tcW w:w="783" w:type="pct"/>
                  <w:tcBorders>
                    <w:top w:val="single" w:sz="4" w:space="0" w:color="231F20"/>
                    <w:left w:val="single" w:sz="2" w:space="0" w:color="231F20"/>
                    <w:bottom w:val="single" w:sz="4" w:space="0" w:color="231F20"/>
                    <w:right w:val="single" w:sz="4"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w:t>
                  </w:r>
                </w:p>
              </w:tc>
            </w:tr>
          </w:tbl>
          <w:p w:rsidR="009E67C7" w:rsidRDefault="009E67C7" w:rsidP="00864FCF">
            <w:pPr>
              <w:rPr>
                <w:sz w:val="24"/>
                <w:szCs w:val="24"/>
              </w:rPr>
            </w:pPr>
          </w:p>
          <w:p w:rsidR="009E67C7" w:rsidRDefault="009E67C7" w:rsidP="00864FCF">
            <w:pPr>
              <w:rPr>
                <w:sz w:val="24"/>
                <w:szCs w:val="24"/>
              </w:rPr>
            </w:pPr>
            <w:r>
              <w:rPr>
                <w:rFonts w:ascii="Times New Roman" w:hAnsi="Times New Roman"/>
                <w:bCs/>
                <w:snapToGrid w:val="0"/>
                <w:w w:val="102"/>
                <w:kern w:val="0"/>
                <w:sz w:val="24"/>
                <w:szCs w:val="24"/>
              </w:rPr>
              <w:t>……</w:t>
            </w:r>
          </w:p>
        </w:tc>
        <w:tc>
          <w:tcPr>
            <w:tcW w:w="4607" w:type="dxa"/>
          </w:tcPr>
          <w:p w:rsidR="009E67C7" w:rsidRDefault="009E67C7" w:rsidP="00864FCF">
            <w:pPr>
              <w:autoSpaceDE w:val="0"/>
              <w:autoSpaceDN w:val="0"/>
              <w:adjustRightInd w:val="0"/>
              <w:snapToGrid w:val="0"/>
              <w:spacing w:before="200" w:line="288" w:lineRule="auto"/>
              <w:rPr>
                <w:rFonts w:ascii="Times New Roman" w:hAnsi="Times New Roman"/>
                <w:snapToGrid w:val="0"/>
                <w:kern w:val="0"/>
                <w:position w:val="-2"/>
                <w:sz w:val="24"/>
                <w:szCs w:val="24"/>
              </w:rPr>
            </w:pPr>
            <w:r>
              <w:rPr>
                <w:rFonts w:ascii="Times New Roman" w:eastAsia="仿宋_GB2312" w:hAnsi="Times New Roman" w:hint="eastAsia"/>
                <w:b/>
                <w:bCs/>
                <w:sz w:val="24"/>
                <w:szCs w:val="24"/>
              </w:rPr>
              <w:lastRenderedPageBreak/>
              <w:t>Article 29</w:t>
            </w:r>
            <w:r>
              <w:rPr>
                <w:rFonts w:ascii="Times New Roman" w:eastAsia="仿宋_GB2312" w:hAnsi="Times New Roman"/>
                <w:b/>
                <w:bCs/>
                <w:sz w:val="24"/>
                <w:szCs w:val="24"/>
              </w:rPr>
              <w:tab/>
            </w:r>
            <w:r>
              <w:rPr>
                <w:rFonts w:ascii="Times New Roman" w:hAnsi="Times New Roman"/>
                <w:kern w:val="0"/>
                <w:sz w:val="24"/>
                <w:szCs w:val="24"/>
              </w:rPr>
              <w:t>Position limits of futures contracts of each product shall be as follows:</w:t>
            </w:r>
          </w:p>
          <w:p w:rsidR="009E67C7" w:rsidRDefault="009E67C7" w:rsidP="00864FCF">
            <w:pPr>
              <w:autoSpaceDE w:val="0"/>
              <w:autoSpaceDN w:val="0"/>
              <w:adjustRightInd w:val="0"/>
              <w:snapToGrid w:val="0"/>
              <w:spacing w:before="200" w:line="288" w:lineRule="auto"/>
              <w:rPr>
                <w:rFonts w:ascii="Times New Roman" w:hAnsi="Times New Roman"/>
                <w:snapToGrid w:val="0"/>
                <w:kern w:val="0"/>
                <w:position w:val="-2"/>
                <w:sz w:val="24"/>
                <w:szCs w:val="24"/>
              </w:rPr>
            </w:pPr>
            <w:r>
              <w:rPr>
                <w:rFonts w:ascii="Times New Roman" w:hAnsi="Times New Roman" w:hint="eastAsia"/>
                <w:kern w:val="0"/>
                <w:sz w:val="24"/>
                <w:szCs w:val="24"/>
              </w:rPr>
              <w:t xml:space="preserve">(1) </w:t>
            </w:r>
            <w:r>
              <w:rPr>
                <w:rFonts w:ascii="Times New Roman" w:hAnsi="Times New Roman"/>
                <w:kern w:val="0"/>
                <w:sz w:val="24"/>
                <w:szCs w:val="24"/>
              </w:rPr>
              <w:t>products other than the iron ore, egg and live hog</w:t>
            </w:r>
          </w:p>
          <w:p w:rsidR="009E67C7" w:rsidRDefault="009E67C7" w:rsidP="00864FCF">
            <w:pPr>
              <w:autoSpaceDE w:val="0"/>
              <w:autoSpaceDN w:val="0"/>
              <w:adjustRightInd w:val="0"/>
              <w:snapToGrid w:val="0"/>
              <w:spacing w:before="200" w:line="288" w:lineRule="auto"/>
              <w:rPr>
                <w:rFonts w:ascii="Times New Roman" w:hAnsi="Times New Roman"/>
                <w:kern w:val="0"/>
                <w:sz w:val="24"/>
                <w:szCs w:val="24"/>
              </w:rPr>
            </w:pPr>
            <w:r>
              <w:rPr>
                <w:rFonts w:ascii="Times New Roman" w:hAnsi="Times New Roman" w:hint="eastAsia"/>
                <w:kern w:val="0"/>
                <w:sz w:val="24"/>
                <w:szCs w:val="24"/>
              </w:rPr>
              <w:t xml:space="preserve">(a) </w:t>
            </w:r>
            <w:r>
              <w:rPr>
                <w:rFonts w:ascii="Times New Roman" w:hAnsi="Times New Roman"/>
                <w:kern w:val="0"/>
                <w:sz w:val="24"/>
                <w:szCs w:val="24"/>
              </w:rPr>
              <w:t xml:space="preserve">During the general months of the futures contract of a certain product other than the iron ore, egg and live hog (from the listing of the contract to the fourteenth trading day of the month immediately preceding the delivery month), the position limit applicable to the Non-Futures Company Member, the OSNBP and the client shall be as follows: </w:t>
            </w:r>
          </w:p>
          <w:p w:rsidR="009E67C7" w:rsidRDefault="009E67C7" w:rsidP="00864FCF">
            <w:pPr>
              <w:widowControl/>
              <w:adjustRightInd w:val="0"/>
              <w:snapToGrid w:val="0"/>
              <w:spacing w:before="200" w:line="288" w:lineRule="auto"/>
              <w:rPr>
                <w:rFonts w:ascii="Times New Roman" w:hAnsi="Times New Roman"/>
                <w:kern w:val="0"/>
                <w:sz w:val="24"/>
                <w:szCs w:val="24"/>
              </w:rPr>
            </w:pPr>
            <w:r>
              <w:rPr>
                <w:rFonts w:ascii="Times New Roman" w:hAnsi="Times New Roman"/>
                <w:kern w:val="0"/>
                <w:sz w:val="24"/>
                <w:szCs w:val="24"/>
              </w:rPr>
              <w:t>(Unit: Lot)</w:t>
            </w:r>
          </w:p>
          <w:tbl>
            <w:tblPr>
              <w:tblW w:w="0" w:type="auto"/>
              <w:jc w:val="right"/>
              <w:tblCellMar>
                <w:left w:w="0" w:type="dxa"/>
                <w:right w:w="0" w:type="dxa"/>
              </w:tblCellMar>
              <w:tblLook w:val="04A0" w:firstRow="1" w:lastRow="0" w:firstColumn="1" w:lastColumn="0" w:noHBand="0" w:noVBand="1"/>
            </w:tblPr>
            <w:tblGrid>
              <w:gridCol w:w="959"/>
              <w:gridCol w:w="1006"/>
              <w:gridCol w:w="1238"/>
              <w:gridCol w:w="931"/>
            </w:tblGrid>
            <w:tr w:rsidR="009E67C7" w:rsidTr="00864FCF">
              <w:trPr>
                <w:trHeight w:val="465"/>
                <w:jc w:val="right"/>
              </w:trPr>
              <w:tc>
                <w:tcPr>
                  <w:tcW w:w="1484" w:type="dxa"/>
                  <w:tcBorders>
                    <w:top w:val="single" w:sz="4" w:space="0" w:color="231F20"/>
                    <w:left w:val="single" w:sz="4"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Product</w:t>
                  </w:r>
                </w:p>
              </w:tc>
              <w:tc>
                <w:tcPr>
                  <w:tcW w:w="1957" w:type="dxa"/>
                  <w:tcBorders>
                    <w:top w:val="single" w:sz="4"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Unilateral Open Interest of Contract</w:t>
                  </w:r>
                </w:p>
              </w:tc>
              <w:tc>
                <w:tcPr>
                  <w:tcW w:w="1975" w:type="dxa"/>
                  <w:tcBorders>
                    <w:top w:val="single" w:sz="4"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Non-Futures Company Member</w:t>
                  </w:r>
                </w:p>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/OSNBP</w:t>
                  </w:r>
                </w:p>
              </w:tc>
              <w:tc>
                <w:tcPr>
                  <w:tcW w:w="1619" w:type="dxa"/>
                  <w:tcBorders>
                    <w:top w:val="single" w:sz="4" w:space="0" w:color="231F20"/>
                    <w:left w:val="single" w:sz="2" w:space="0" w:color="231F20"/>
                    <w:bottom w:val="single" w:sz="4" w:space="0" w:color="231F20"/>
                    <w:right w:val="single" w:sz="4"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Client</w:t>
                  </w:r>
                </w:p>
              </w:tc>
            </w:tr>
            <w:tr w:rsidR="009E67C7" w:rsidTr="00864FCF">
              <w:trPr>
                <w:trHeight w:val="465"/>
                <w:jc w:val="right"/>
              </w:trPr>
              <w:tc>
                <w:tcPr>
                  <w:tcW w:w="1484" w:type="dxa"/>
                  <w:tcBorders>
                    <w:top w:val="single" w:sz="4" w:space="0" w:color="231F20"/>
                    <w:left w:val="single" w:sz="4"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Cs/>
                      <w:snapToGrid w:val="0"/>
                      <w:w w:val="102"/>
                      <w:kern w:val="0"/>
                      <w:sz w:val="24"/>
                      <w:szCs w:val="24"/>
                    </w:rPr>
                    <w:t>……</w:t>
                  </w:r>
                </w:p>
              </w:tc>
              <w:tc>
                <w:tcPr>
                  <w:tcW w:w="1957" w:type="dxa"/>
                  <w:tcBorders>
                    <w:top w:val="single" w:sz="4"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Cs/>
                      <w:snapToGrid w:val="0"/>
                      <w:w w:val="102"/>
                      <w:kern w:val="0"/>
                      <w:sz w:val="24"/>
                      <w:szCs w:val="24"/>
                    </w:rPr>
                    <w:t>……</w:t>
                  </w:r>
                </w:p>
              </w:tc>
              <w:tc>
                <w:tcPr>
                  <w:tcW w:w="1975" w:type="dxa"/>
                  <w:tcBorders>
                    <w:top w:val="single" w:sz="4"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Cs/>
                      <w:snapToGrid w:val="0"/>
                      <w:w w:val="102"/>
                      <w:kern w:val="0"/>
                      <w:sz w:val="24"/>
                      <w:szCs w:val="24"/>
                    </w:rPr>
                    <w:t>……</w:t>
                  </w:r>
                </w:p>
              </w:tc>
              <w:tc>
                <w:tcPr>
                  <w:tcW w:w="1619" w:type="dxa"/>
                  <w:tcBorders>
                    <w:top w:val="single" w:sz="4" w:space="0" w:color="231F20"/>
                    <w:left w:val="single" w:sz="2" w:space="0" w:color="231F20"/>
                    <w:bottom w:val="single" w:sz="4" w:space="0" w:color="231F20"/>
                    <w:right w:val="single" w:sz="4"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Cs/>
                      <w:snapToGrid w:val="0"/>
                      <w:w w:val="102"/>
                      <w:kern w:val="0"/>
                      <w:sz w:val="24"/>
                      <w:szCs w:val="24"/>
                    </w:rPr>
                    <w:t>……</w:t>
                  </w:r>
                </w:p>
              </w:tc>
            </w:tr>
            <w:tr w:rsidR="009E67C7" w:rsidTr="00864FCF">
              <w:trPr>
                <w:trHeight w:val="465"/>
                <w:jc w:val="right"/>
              </w:trPr>
              <w:tc>
                <w:tcPr>
                  <w:tcW w:w="1484" w:type="dxa"/>
                  <w:vMerge w:val="restart"/>
                  <w:tcBorders>
                    <w:top w:val="single" w:sz="4" w:space="0" w:color="auto"/>
                    <w:left w:val="single" w:sz="4" w:space="0" w:color="auto"/>
                    <w:bottom w:val="single" w:sz="4" w:space="0" w:color="auto"/>
                    <w:right w:val="single" w:sz="4" w:space="0" w:color="auto"/>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Liquefied Petroleum Gas</w:t>
                  </w:r>
                </w:p>
              </w:tc>
              <w:tc>
                <w:tcPr>
                  <w:tcW w:w="1957" w:type="dxa"/>
                  <w:tcBorders>
                    <w:top w:val="single" w:sz="2" w:space="0" w:color="231F20"/>
                    <w:left w:val="single" w:sz="4" w:space="0" w:color="auto"/>
                    <w:bottom w:val="single" w:sz="2"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hint="eastAsia"/>
                      <w:snapToGrid w:val="0"/>
                      <w:w w:val="102"/>
                      <w:kern w:val="0"/>
                      <w:sz w:val="24"/>
                      <w:szCs w:val="24"/>
                    </w:rPr>
                    <w:t>80,000</w:t>
                  </w:r>
                </w:p>
              </w:tc>
              <w:tc>
                <w:tcPr>
                  <w:tcW w:w="1975" w:type="dxa"/>
                  <w:tcBorders>
                    <w:top w:val="single" w:sz="2" w:space="0" w:color="231F20"/>
                    <w:left w:val="single" w:sz="2" w:space="0" w:color="231F20"/>
                    <w:bottom w:val="single" w:sz="2"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8,000</w:t>
                  </w:r>
                </w:p>
              </w:tc>
              <w:tc>
                <w:tcPr>
                  <w:tcW w:w="1619" w:type="dxa"/>
                  <w:tcBorders>
                    <w:top w:val="single" w:sz="2" w:space="0" w:color="231F20"/>
                    <w:left w:val="single" w:sz="2" w:space="0" w:color="231F20"/>
                    <w:bottom w:val="single" w:sz="2" w:space="0" w:color="231F20"/>
                    <w:right w:val="single" w:sz="4"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8,000</w:t>
                  </w:r>
                </w:p>
              </w:tc>
            </w:tr>
            <w:tr w:rsidR="009E67C7" w:rsidTr="00864FCF">
              <w:trPr>
                <w:trHeight w:val="465"/>
                <w:jc w:val="right"/>
              </w:trPr>
              <w:tc>
                <w:tcPr>
                  <w:tcW w:w="1484" w:type="dxa"/>
                  <w:vMerge/>
                  <w:tcBorders>
                    <w:top w:val="single" w:sz="4" w:space="0" w:color="auto"/>
                    <w:left w:val="single" w:sz="4" w:space="0" w:color="auto"/>
                    <w:bottom w:val="single" w:sz="4" w:space="0" w:color="auto"/>
                    <w:right w:val="single" w:sz="4" w:space="0" w:color="auto"/>
                  </w:tcBorders>
                  <w:vAlign w:val="center"/>
                </w:tcPr>
                <w:p w:rsidR="009E67C7" w:rsidRDefault="009E67C7"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957" w:type="dxa"/>
                  <w:tcBorders>
                    <w:top w:val="single" w:sz="2" w:space="0" w:color="231F20"/>
                    <w:left w:val="single" w:sz="4" w:space="0" w:color="auto"/>
                    <w:bottom w:val="single" w:sz="2"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w:t>
                  </w:r>
                  <w:r>
                    <w:rPr>
                      <w:rFonts w:ascii="Times New Roman" w:hAnsi="Times New Roman"/>
                      <w:snapToGrid w:val="0"/>
                      <w:w w:val="102"/>
                      <w:kern w:val="0"/>
                      <w:sz w:val="24"/>
                      <w:szCs w:val="24"/>
                    </w:rPr>
                    <w:lastRenderedPageBreak/>
                    <w:t xml:space="preserve">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80,000</w:t>
                  </w:r>
                </w:p>
              </w:tc>
              <w:tc>
                <w:tcPr>
                  <w:tcW w:w="1975" w:type="dxa"/>
                  <w:tcBorders>
                    <w:top w:val="single" w:sz="2" w:space="0" w:color="231F20"/>
                    <w:left w:val="single" w:sz="2" w:space="0" w:color="231F20"/>
                    <w:bottom w:val="single" w:sz="2"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lastRenderedPageBreak/>
                    <w:t xml:space="preserve">Unilateral open </w:t>
                  </w:r>
                  <w:r>
                    <w:rPr>
                      <w:rFonts w:ascii="Times New Roman" w:hAnsi="Times New Roman"/>
                      <w:snapToGrid w:val="0"/>
                      <w:w w:val="102"/>
                      <w:kern w:val="0"/>
                      <w:sz w:val="24"/>
                      <w:szCs w:val="24"/>
                    </w:rPr>
                    <w:lastRenderedPageBreak/>
                    <w:t>interest×10%</w:t>
                  </w:r>
                </w:p>
              </w:tc>
              <w:tc>
                <w:tcPr>
                  <w:tcW w:w="1619" w:type="dxa"/>
                  <w:tcBorders>
                    <w:top w:val="single" w:sz="2" w:space="0" w:color="231F20"/>
                    <w:left w:val="single" w:sz="2" w:space="0" w:color="231F20"/>
                    <w:bottom w:val="single" w:sz="2" w:space="0" w:color="231F20"/>
                    <w:right w:val="single" w:sz="4"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lastRenderedPageBreak/>
                    <w:t xml:space="preserve">Unilateral open </w:t>
                  </w:r>
                  <w:r>
                    <w:rPr>
                      <w:rFonts w:ascii="Times New Roman" w:hAnsi="Times New Roman"/>
                      <w:snapToGrid w:val="0"/>
                      <w:w w:val="102"/>
                      <w:kern w:val="0"/>
                      <w:sz w:val="24"/>
                      <w:szCs w:val="24"/>
                    </w:rPr>
                    <w:lastRenderedPageBreak/>
                    <w:t>interest ×10%</w:t>
                  </w:r>
                </w:p>
              </w:tc>
            </w:tr>
            <w:tr w:rsidR="009E67C7" w:rsidTr="00864FCF">
              <w:trPr>
                <w:trHeight w:val="465"/>
                <w:jc w:val="right"/>
              </w:trPr>
              <w:tc>
                <w:tcPr>
                  <w:tcW w:w="1484" w:type="dxa"/>
                  <w:vMerge w:val="restart"/>
                  <w:tcBorders>
                    <w:top w:val="single" w:sz="4" w:space="0" w:color="auto"/>
                    <w:left w:val="single" w:sz="4" w:space="0" w:color="auto"/>
                    <w:right w:val="single" w:sz="4" w:space="0" w:color="auto"/>
                  </w:tcBorders>
                  <w:vAlign w:val="center"/>
                </w:tcPr>
                <w:p w:rsidR="009E67C7" w:rsidRDefault="009E67C7" w:rsidP="00864FCF">
                  <w:pPr>
                    <w:widowControl/>
                    <w:adjustRightInd w:val="0"/>
                    <w:snapToGrid w:val="0"/>
                    <w:spacing w:before="200" w:line="288" w:lineRule="auto"/>
                    <w:jc w:val="left"/>
                    <w:rPr>
                      <w:rFonts w:ascii="Times New Roman" w:hAnsi="Times New Roman"/>
                      <w:snapToGrid w:val="0"/>
                      <w:w w:val="102"/>
                      <w:kern w:val="0"/>
                      <w:sz w:val="24"/>
                      <w:szCs w:val="24"/>
                      <w:highlight w:val="lightGray"/>
                    </w:rPr>
                  </w:pPr>
                  <w:r>
                    <w:rPr>
                      <w:rFonts w:ascii="Times New Roman" w:hAnsi="Times New Roman" w:hint="eastAsia"/>
                      <w:snapToGrid w:val="0"/>
                      <w:w w:val="102"/>
                      <w:kern w:val="0"/>
                      <w:sz w:val="24"/>
                      <w:szCs w:val="24"/>
                      <w:highlight w:val="lightGray"/>
                    </w:rPr>
                    <w:lastRenderedPageBreak/>
                    <w:t>Log</w:t>
                  </w:r>
                </w:p>
              </w:tc>
              <w:tc>
                <w:tcPr>
                  <w:tcW w:w="1957" w:type="dxa"/>
                  <w:tcBorders>
                    <w:top w:val="single" w:sz="2" w:space="0" w:color="231F20"/>
                    <w:left w:val="single" w:sz="4" w:space="0" w:color="auto"/>
                    <w:bottom w:val="single" w:sz="2"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highlight w:val="lightGray"/>
                    </w:rPr>
                  </w:pPr>
                  <w:r>
                    <w:rPr>
                      <w:rFonts w:ascii="Times New Roman" w:hAnsi="Times New Roman"/>
                      <w:snapToGrid w:val="0"/>
                      <w:w w:val="102"/>
                      <w:kern w:val="0"/>
                      <w:sz w:val="24"/>
                      <w:szCs w:val="24"/>
                      <w:highlight w:val="lightGray"/>
                    </w:rPr>
                    <w:t xml:space="preserve">Unilateral open interest </w:t>
                  </w:r>
                  <w:r>
                    <w:rPr>
                      <w:rFonts w:ascii="Times New Roman" w:hAnsi="Times New Roman" w:hint="eastAsia"/>
                      <w:snapToGrid w:val="0"/>
                      <w:w w:val="102"/>
                      <w:kern w:val="0"/>
                      <w:sz w:val="24"/>
                      <w:szCs w:val="24"/>
                      <w:highlight w:val="lightGray"/>
                    </w:rPr>
                    <w:t>≤</w:t>
                  </w:r>
                  <w:r>
                    <w:rPr>
                      <w:rFonts w:ascii="Times New Roman" w:hAnsi="Times New Roman" w:hint="eastAsia"/>
                      <w:snapToGrid w:val="0"/>
                      <w:w w:val="102"/>
                      <w:kern w:val="0"/>
                      <w:sz w:val="24"/>
                      <w:szCs w:val="24"/>
                      <w:highlight w:val="lightGray"/>
                    </w:rPr>
                    <w:t>30,000</w:t>
                  </w:r>
                </w:p>
              </w:tc>
              <w:tc>
                <w:tcPr>
                  <w:tcW w:w="1975" w:type="dxa"/>
                  <w:tcBorders>
                    <w:top w:val="single" w:sz="2" w:space="0" w:color="231F20"/>
                    <w:left w:val="single" w:sz="2" w:space="0" w:color="231F20"/>
                    <w:bottom w:val="single" w:sz="2"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highlight w:val="lightGray"/>
                    </w:rPr>
                  </w:pPr>
                  <w:r>
                    <w:rPr>
                      <w:rFonts w:ascii="Times New Roman" w:hAnsi="Times New Roman" w:hint="eastAsia"/>
                      <w:snapToGrid w:val="0"/>
                      <w:w w:val="102"/>
                      <w:kern w:val="0"/>
                      <w:sz w:val="24"/>
                      <w:szCs w:val="24"/>
                      <w:highlight w:val="lightGray"/>
                    </w:rPr>
                    <w:t>1,500</w:t>
                  </w:r>
                </w:p>
              </w:tc>
              <w:tc>
                <w:tcPr>
                  <w:tcW w:w="1619" w:type="dxa"/>
                  <w:tcBorders>
                    <w:top w:val="single" w:sz="2" w:space="0" w:color="231F20"/>
                    <w:left w:val="single" w:sz="2" w:space="0" w:color="231F20"/>
                    <w:bottom w:val="single" w:sz="2" w:space="0" w:color="231F20"/>
                    <w:right w:val="single" w:sz="4"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highlight w:val="lightGray"/>
                    </w:rPr>
                  </w:pPr>
                  <w:r>
                    <w:rPr>
                      <w:rFonts w:ascii="Times New Roman" w:hAnsi="Times New Roman" w:hint="eastAsia"/>
                      <w:snapToGrid w:val="0"/>
                      <w:w w:val="102"/>
                      <w:kern w:val="0"/>
                      <w:sz w:val="24"/>
                      <w:szCs w:val="24"/>
                      <w:highlight w:val="lightGray"/>
                    </w:rPr>
                    <w:t>1,500</w:t>
                  </w:r>
                </w:p>
              </w:tc>
            </w:tr>
            <w:tr w:rsidR="009E67C7" w:rsidTr="00864FCF">
              <w:trPr>
                <w:trHeight w:val="465"/>
                <w:jc w:val="right"/>
              </w:trPr>
              <w:tc>
                <w:tcPr>
                  <w:tcW w:w="1484" w:type="dxa"/>
                  <w:vMerge/>
                  <w:tcBorders>
                    <w:left w:val="single" w:sz="4" w:space="0" w:color="auto"/>
                    <w:bottom w:val="single" w:sz="4" w:space="0" w:color="auto"/>
                    <w:right w:val="single" w:sz="4" w:space="0" w:color="auto"/>
                  </w:tcBorders>
                  <w:vAlign w:val="center"/>
                </w:tcPr>
                <w:p w:rsidR="009E67C7" w:rsidRDefault="009E67C7" w:rsidP="00864FCF">
                  <w:pPr>
                    <w:widowControl/>
                    <w:adjustRightInd w:val="0"/>
                    <w:snapToGrid w:val="0"/>
                    <w:spacing w:before="200" w:line="288" w:lineRule="auto"/>
                    <w:jc w:val="left"/>
                    <w:rPr>
                      <w:rFonts w:ascii="Times New Roman" w:hAnsi="Times New Roman"/>
                      <w:snapToGrid w:val="0"/>
                      <w:w w:val="102"/>
                      <w:kern w:val="0"/>
                      <w:sz w:val="24"/>
                      <w:szCs w:val="24"/>
                      <w:highlight w:val="lightGray"/>
                    </w:rPr>
                  </w:pPr>
                </w:p>
              </w:tc>
              <w:tc>
                <w:tcPr>
                  <w:tcW w:w="1957" w:type="dxa"/>
                  <w:tcBorders>
                    <w:top w:val="single" w:sz="2" w:space="0" w:color="231F20"/>
                    <w:left w:val="single" w:sz="4" w:space="0" w:color="auto"/>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highlight w:val="lightGray"/>
                    </w:rPr>
                  </w:pPr>
                  <w:r>
                    <w:rPr>
                      <w:rFonts w:ascii="Times New Roman" w:hAnsi="Times New Roman"/>
                      <w:snapToGrid w:val="0"/>
                      <w:w w:val="102"/>
                      <w:kern w:val="0"/>
                      <w:sz w:val="24"/>
                      <w:szCs w:val="24"/>
                      <w:highlight w:val="lightGray"/>
                    </w:rPr>
                    <w:t xml:space="preserve">Unilateral open interest </w:t>
                  </w:r>
                  <w:r>
                    <w:rPr>
                      <w:rFonts w:ascii="Times New Roman" w:hAnsi="Times New Roman" w:hint="eastAsia"/>
                      <w:snapToGrid w:val="0"/>
                      <w:w w:val="102"/>
                      <w:kern w:val="0"/>
                      <w:sz w:val="24"/>
                      <w:szCs w:val="24"/>
                      <w:highlight w:val="lightGray"/>
                    </w:rPr>
                    <w:t>＞</w:t>
                  </w:r>
                  <w:r>
                    <w:rPr>
                      <w:rFonts w:ascii="Times New Roman" w:hAnsi="Times New Roman" w:hint="eastAsia"/>
                      <w:snapToGrid w:val="0"/>
                      <w:w w:val="102"/>
                      <w:kern w:val="0"/>
                      <w:sz w:val="24"/>
                      <w:szCs w:val="24"/>
                      <w:highlight w:val="lightGray"/>
                    </w:rPr>
                    <w:t>3</w:t>
                  </w:r>
                  <w:r>
                    <w:rPr>
                      <w:rFonts w:ascii="Times New Roman" w:hAnsi="Times New Roman"/>
                      <w:snapToGrid w:val="0"/>
                      <w:w w:val="102"/>
                      <w:kern w:val="0"/>
                      <w:sz w:val="24"/>
                      <w:szCs w:val="24"/>
                      <w:highlight w:val="lightGray"/>
                    </w:rPr>
                    <w:t>0,000</w:t>
                  </w:r>
                </w:p>
              </w:tc>
              <w:tc>
                <w:tcPr>
                  <w:tcW w:w="1975" w:type="dxa"/>
                  <w:tcBorders>
                    <w:top w:val="single" w:sz="2"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highlight w:val="lightGray"/>
                    </w:rPr>
                  </w:pPr>
                  <w:r>
                    <w:rPr>
                      <w:rFonts w:ascii="Times New Roman" w:hAnsi="Times New Roman"/>
                      <w:snapToGrid w:val="0"/>
                      <w:w w:val="102"/>
                      <w:kern w:val="0"/>
                      <w:sz w:val="24"/>
                      <w:szCs w:val="24"/>
                      <w:highlight w:val="lightGray"/>
                    </w:rPr>
                    <w:t>Unilateral open interest×</w:t>
                  </w:r>
                  <w:r>
                    <w:rPr>
                      <w:rFonts w:ascii="Times New Roman" w:hAnsi="Times New Roman" w:hint="eastAsia"/>
                      <w:snapToGrid w:val="0"/>
                      <w:w w:val="102"/>
                      <w:kern w:val="0"/>
                      <w:sz w:val="24"/>
                      <w:szCs w:val="24"/>
                      <w:highlight w:val="lightGray"/>
                    </w:rPr>
                    <w:t>5</w:t>
                  </w:r>
                  <w:r>
                    <w:rPr>
                      <w:rFonts w:ascii="Times New Roman" w:hAnsi="Times New Roman"/>
                      <w:snapToGrid w:val="0"/>
                      <w:w w:val="102"/>
                      <w:kern w:val="0"/>
                      <w:sz w:val="24"/>
                      <w:szCs w:val="24"/>
                      <w:highlight w:val="lightGray"/>
                    </w:rPr>
                    <w:t>%</w:t>
                  </w:r>
                </w:p>
              </w:tc>
              <w:tc>
                <w:tcPr>
                  <w:tcW w:w="1619" w:type="dxa"/>
                  <w:tcBorders>
                    <w:top w:val="single" w:sz="2" w:space="0" w:color="231F20"/>
                    <w:left w:val="single" w:sz="2" w:space="0" w:color="231F20"/>
                    <w:bottom w:val="single" w:sz="4" w:space="0" w:color="231F20"/>
                    <w:right w:val="single" w:sz="4"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highlight w:val="lightGray"/>
                    </w:rPr>
                  </w:pPr>
                  <w:r>
                    <w:rPr>
                      <w:rFonts w:ascii="Times New Roman" w:hAnsi="Times New Roman"/>
                      <w:snapToGrid w:val="0"/>
                      <w:w w:val="102"/>
                      <w:kern w:val="0"/>
                      <w:sz w:val="24"/>
                      <w:szCs w:val="24"/>
                      <w:highlight w:val="lightGray"/>
                    </w:rPr>
                    <w:t>Unilateral open interest ×</w:t>
                  </w:r>
                  <w:r>
                    <w:rPr>
                      <w:rFonts w:ascii="Times New Roman" w:hAnsi="Times New Roman" w:hint="eastAsia"/>
                      <w:snapToGrid w:val="0"/>
                      <w:w w:val="102"/>
                      <w:kern w:val="0"/>
                      <w:sz w:val="24"/>
                      <w:szCs w:val="24"/>
                      <w:highlight w:val="lightGray"/>
                    </w:rPr>
                    <w:t>5</w:t>
                  </w:r>
                  <w:r>
                    <w:rPr>
                      <w:rFonts w:ascii="Times New Roman" w:hAnsi="Times New Roman"/>
                      <w:snapToGrid w:val="0"/>
                      <w:w w:val="102"/>
                      <w:kern w:val="0"/>
                      <w:sz w:val="24"/>
                      <w:szCs w:val="24"/>
                      <w:highlight w:val="lightGray"/>
                    </w:rPr>
                    <w:t>%</w:t>
                  </w:r>
                </w:p>
              </w:tc>
            </w:tr>
          </w:tbl>
          <w:p w:rsidR="009E67C7" w:rsidRDefault="009E67C7" w:rsidP="00864FCF">
            <w:pPr>
              <w:autoSpaceDE w:val="0"/>
              <w:autoSpaceDN w:val="0"/>
              <w:adjustRightInd w:val="0"/>
              <w:snapToGrid w:val="0"/>
              <w:spacing w:before="200" w:line="288" w:lineRule="auto"/>
              <w:rPr>
                <w:rFonts w:ascii="Times New Roman" w:hAnsi="Times New Roman"/>
                <w:snapToGrid w:val="0"/>
                <w:kern w:val="0"/>
                <w:sz w:val="24"/>
                <w:szCs w:val="24"/>
              </w:rPr>
            </w:pPr>
            <w:r>
              <w:rPr>
                <w:rFonts w:ascii="Times New Roman" w:hAnsi="Times New Roman" w:hint="eastAsia"/>
                <w:snapToGrid w:val="0"/>
                <w:kern w:val="0"/>
                <w:sz w:val="24"/>
                <w:szCs w:val="24"/>
              </w:rPr>
              <w:t xml:space="preserve">(b) </w:t>
            </w:r>
            <w:r>
              <w:rPr>
                <w:rFonts w:ascii="Times New Roman" w:hAnsi="Times New Roman"/>
                <w:snapToGrid w:val="0"/>
                <w:kern w:val="0"/>
                <w:sz w:val="24"/>
                <w:szCs w:val="24"/>
              </w:rPr>
              <w:t>During the period from the fifteenth trading day of the month immediately preceding the delivery month to the delivery month, the position limit applicable to the Non-Futures Company Member, the OSNBP and the client for any product other than the iron ore, egg and live hog is shown in the table below, and the position limit applicable to the individual client during the delivery month shall be zero (0):</w:t>
            </w:r>
          </w:p>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kern w:val="0"/>
                <w:sz w:val="24"/>
                <w:szCs w:val="24"/>
              </w:rPr>
            </w:pPr>
            <w:r>
              <w:rPr>
                <w:rFonts w:ascii="Times New Roman" w:hAnsi="Times New Roman"/>
                <w:snapToGrid w:val="0"/>
                <w:kern w:val="0"/>
                <w:position w:val="-1"/>
                <w:sz w:val="24"/>
                <w:szCs w:val="24"/>
              </w:rPr>
              <w:t>(Unit: Lot)</w:t>
            </w:r>
          </w:p>
          <w:tbl>
            <w:tblPr>
              <w:tblW w:w="5000" w:type="pct"/>
              <w:jc w:val="right"/>
              <w:tblCellMar>
                <w:left w:w="0" w:type="dxa"/>
                <w:right w:w="0" w:type="dxa"/>
              </w:tblCellMar>
              <w:tblLook w:val="04A0" w:firstRow="1" w:lastRow="0" w:firstColumn="1" w:lastColumn="0" w:noHBand="0" w:noVBand="1"/>
            </w:tblPr>
            <w:tblGrid>
              <w:gridCol w:w="1016"/>
              <w:gridCol w:w="1235"/>
              <w:gridCol w:w="1236"/>
              <w:gridCol w:w="647"/>
            </w:tblGrid>
            <w:tr w:rsidR="009E67C7" w:rsidTr="00864FCF">
              <w:trPr>
                <w:trHeight w:val="465"/>
                <w:jc w:val="right"/>
              </w:trPr>
              <w:tc>
                <w:tcPr>
                  <w:tcW w:w="1209" w:type="pct"/>
                  <w:tcBorders>
                    <w:top w:val="single" w:sz="4" w:space="0" w:color="231F20"/>
                    <w:left w:val="single" w:sz="4"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Product</w:t>
                  </w:r>
                </w:p>
              </w:tc>
              <w:tc>
                <w:tcPr>
                  <w:tcW w:w="1512" w:type="pct"/>
                  <w:tcBorders>
                    <w:top w:val="single" w:sz="4"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Period</w:t>
                  </w:r>
                </w:p>
              </w:tc>
              <w:tc>
                <w:tcPr>
                  <w:tcW w:w="1513" w:type="pct"/>
                  <w:tcBorders>
                    <w:top w:val="single" w:sz="4"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Non-Futures Company Member</w:t>
                  </w:r>
                </w:p>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/OSNBP</w:t>
                  </w:r>
                </w:p>
              </w:tc>
              <w:tc>
                <w:tcPr>
                  <w:tcW w:w="765" w:type="pct"/>
                  <w:tcBorders>
                    <w:top w:val="single" w:sz="4" w:space="0" w:color="231F20"/>
                    <w:left w:val="single" w:sz="2" w:space="0" w:color="231F20"/>
                    <w:bottom w:val="single" w:sz="4" w:space="0" w:color="231F20"/>
                    <w:right w:val="single" w:sz="4"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Client</w:t>
                  </w:r>
                </w:p>
              </w:tc>
            </w:tr>
            <w:tr w:rsidR="009E67C7" w:rsidTr="00864FCF">
              <w:trPr>
                <w:trHeight w:val="465"/>
                <w:jc w:val="right"/>
              </w:trPr>
              <w:tc>
                <w:tcPr>
                  <w:tcW w:w="1209" w:type="pct"/>
                  <w:tcBorders>
                    <w:top w:val="single" w:sz="4" w:space="0" w:color="231F20"/>
                    <w:left w:val="single" w:sz="4"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Cs/>
                      <w:snapToGrid w:val="0"/>
                      <w:w w:val="102"/>
                      <w:kern w:val="0"/>
                      <w:sz w:val="24"/>
                      <w:szCs w:val="24"/>
                    </w:rPr>
                  </w:pPr>
                  <w:r>
                    <w:rPr>
                      <w:rFonts w:ascii="Times New Roman" w:hAnsi="Times New Roman"/>
                      <w:bCs/>
                      <w:snapToGrid w:val="0"/>
                      <w:w w:val="102"/>
                      <w:kern w:val="0"/>
                      <w:sz w:val="24"/>
                      <w:szCs w:val="24"/>
                    </w:rPr>
                    <w:t>……</w:t>
                  </w:r>
                </w:p>
              </w:tc>
              <w:tc>
                <w:tcPr>
                  <w:tcW w:w="1512" w:type="pct"/>
                  <w:tcBorders>
                    <w:top w:val="single" w:sz="4"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Cs/>
                      <w:snapToGrid w:val="0"/>
                      <w:w w:val="102"/>
                      <w:kern w:val="0"/>
                      <w:sz w:val="24"/>
                      <w:szCs w:val="24"/>
                    </w:rPr>
                    <w:t>……</w:t>
                  </w:r>
                </w:p>
              </w:tc>
              <w:tc>
                <w:tcPr>
                  <w:tcW w:w="1513" w:type="pct"/>
                  <w:tcBorders>
                    <w:top w:val="single" w:sz="4"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Cs/>
                      <w:snapToGrid w:val="0"/>
                      <w:w w:val="102"/>
                      <w:kern w:val="0"/>
                      <w:sz w:val="24"/>
                      <w:szCs w:val="24"/>
                    </w:rPr>
                    <w:t>……</w:t>
                  </w:r>
                </w:p>
              </w:tc>
              <w:tc>
                <w:tcPr>
                  <w:tcW w:w="765" w:type="pct"/>
                  <w:tcBorders>
                    <w:top w:val="single" w:sz="4" w:space="0" w:color="231F20"/>
                    <w:left w:val="single" w:sz="2" w:space="0" w:color="231F20"/>
                    <w:bottom w:val="single" w:sz="4" w:space="0" w:color="231F20"/>
                    <w:right w:val="single" w:sz="4"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Cs/>
                      <w:snapToGrid w:val="0"/>
                      <w:w w:val="102"/>
                      <w:kern w:val="0"/>
                      <w:sz w:val="24"/>
                      <w:szCs w:val="24"/>
                    </w:rPr>
                    <w:t>……</w:t>
                  </w:r>
                </w:p>
              </w:tc>
            </w:tr>
            <w:tr w:rsidR="009E67C7" w:rsidTr="00864FCF">
              <w:trPr>
                <w:trHeight w:val="465"/>
                <w:jc w:val="right"/>
              </w:trPr>
              <w:tc>
                <w:tcPr>
                  <w:tcW w:w="1209" w:type="pct"/>
                  <w:vMerge w:val="restart"/>
                  <w:tcBorders>
                    <w:top w:val="single" w:sz="4" w:space="0" w:color="auto"/>
                    <w:left w:val="single" w:sz="4" w:space="0" w:color="auto"/>
                    <w:bottom w:val="single" w:sz="4" w:space="0" w:color="auto"/>
                    <w:right w:val="single" w:sz="4" w:space="0" w:color="auto"/>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Liquefied Petroleum Gas</w:t>
                  </w:r>
                </w:p>
              </w:tc>
              <w:tc>
                <w:tcPr>
                  <w:tcW w:w="1512" w:type="pct"/>
                  <w:tcBorders>
                    <w:top w:val="single" w:sz="4" w:space="0" w:color="231F20"/>
                    <w:left w:val="single" w:sz="4" w:space="0" w:color="auto"/>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As from the fifteenth trading day of the month </w:t>
                  </w:r>
                  <w:r>
                    <w:rPr>
                      <w:rFonts w:ascii="Times New Roman" w:hAnsi="Times New Roman"/>
                      <w:snapToGrid w:val="0"/>
                      <w:w w:val="102"/>
                      <w:kern w:val="0"/>
                      <w:sz w:val="24"/>
                      <w:szCs w:val="24"/>
                    </w:rPr>
                    <w:lastRenderedPageBreak/>
                    <w:t>immediately preceding the delivery month</w:t>
                  </w:r>
                </w:p>
              </w:tc>
              <w:tc>
                <w:tcPr>
                  <w:tcW w:w="1513" w:type="pct"/>
                  <w:tcBorders>
                    <w:top w:val="single" w:sz="4"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lastRenderedPageBreak/>
                    <w:t>1,000</w:t>
                  </w:r>
                </w:p>
              </w:tc>
              <w:tc>
                <w:tcPr>
                  <w:tcW w:w="765" w:type="pct"/>
                  <w:tcBorders>
                    <w:top w:val="single" w:sz="4" w:space="0" w:color="231F20"/>
                    <w:left w:val="single" w:sz="2" w:space="0" w:color="231F20"/>
                    <w:bottom w:val="single" w:sz="4" w:space="0" w:color="231F20"/>
                    <w:right w:val="single" w:sz="4"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1,000</w:t>
                  </w:r>
                </w:p>
              </w:tc>
            </w:tr>
            <w:tr w:rsidR="009E67C7" w:rsidTr="00864FCF">
              <w:trPr>
                <w:trHeight w:val="465"/>
                <w:jc w:val="right"/>
              </w:trPr>
              <w:tc>
                <w:tcPr>
                  <w:tcW w:w="1209" w:type="pct"/>
                  <w:vMerge/>
                  <w:tcBorders>
                    <w:top w:val="single" w:sz="4" w:space="0" w:color="auto"/>
                    <w:left w:val="single" w:sz="4" w:space="0" w:color="auto"/>
                    <w:bottom w:val="single" w:sz="4" w:space="0" w:color="auto"/>
                    <w:right w:val="single" w:sz="4" w:space="0" w:color="auto"/>
                  </w:tcBorders>
                  <w:vAlign w:val="center"/>
                </w:tcPr>
                <w:p w:rsidR="009E67C7" w:rsidRDefault="009E67C7"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512" w:type="pct"/>
                  <w:tcBorders>
                    <w:top w:val="single" w:sz="4" w:space="0" w:color="231F20"/>
                    <w:left w:val="single" w:sz="4" w:space="0" w:color="auto"/>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1513" w:type="pct"/>
                  <w:tcBorders>
                    <w:top w:val="single" w:sz="4"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w:t>
                  </w:r>
                </w:p>
              </w:tc>
              <w:tc>
                <w:tcPr>
                  <w:tcW w:w="765" w:type="pct"/>
                  <w:tcBorders>
                    <w:top w:val="single" w:sz="4" w:space="0" w:color="231F20"/>
                    <w:left w:val="single" w:sz="2" w:space="0" w:color="231F20"/>
                    <w:bottom w:val="single" w:sz="4" w:space="0" w:color="231F20"/>
                    <w:right w:val="single" w:sz="4"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w:t>
                  </w:r>
                </w:p>
              </w:tc>
            </w:tr>
            <w:tr w:rsidR="009E67C7" w:rsidTr="00864FCF">
              <w:trPr>
                <w:trHeight w:val="465"/>
                <w:jc w:val="right"/>
              </w:trPr>
              <w:tc>
                <w:tcPr>
                  <w:tcW w:w="1209" w:type="pct"/>
                  <w:vMerge w:val="restart"/>
                  <w:tcBorders>
                    <w:top w:val="single" w:sz="4" w:space="0" w:color="auto"/>
                    <w:left w:val="single" w:sz="4" w:space="0" w:color="auto"/>
                    <w:right w:val="single" w:sz="4" w:space="0" w:color="auto"/>
                  </w:tcBorders>
                  <w:vAlign w:val="center"/>
                </w:tcPr>
                <w:p w:rsidR="009E67C7" w:rsidRDefault="009E67C7" w:rsidP="00864FCF">
                  <w:pPr>
                    <w:widowControl/>
                    <w:adjustRightInd w:val="0"/>
                    <w:snapToGrid w:val="0"/>
                    <w:spacing w:before="200" w:line="288" w:lineRule="auto"/>
                    <w:jc w:val="left"/>
                    <w:rPr>
                      <w:rFonts w:ascii="Times New Roman" w:hAnsi="Times New Roman"/>
                      <w:snapToGrid w:val="0"/>
                      <w:w w:val="102"/>
                      <w:kern w:val="0"/>
                      <w:sz w:val="24"/>
                      <w:szCs w:val="24"/>
                      <w:highlight w:val="lightGray"/>
                    </w:rPr>
                  </w:pPr>
                  <w:r>
                    <w:rPr>
                      <w:rFonts w:ascii="Times New Roman" w:hAnsi="Times New Roman" w:hint="eastAsia"/>
                      <w:snapToGrid w:val="0"/>
                      <w:w w:val="102"/>
                      <w:kern w:val="0"/>
                      <w:sz w:val="24"/>
                      <w:szCs w:val="24"/>
                      <w:highlight w:val="lightGray"/>
                    </w:rPr>
                    <w:t>Log</w:t>
                  </w:r>
                </w:p>
              </w:tc>
              <w:tc>
                <w:tcPr>
                  <w:tcW w:w="1512" w:type="pct"/>
                  <w:tcBorders>
                    <w:top w:val="single" w:sz="4" w:space="0" w:color="231F20"/>
                    <w:left w:val="single" w:sz="4" w:space="0" w:color="auto"/>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highlight w:val="lightGray"/>
                    </w:rPr>
                  </w:pPr>
                  <w:r>
                    <w:rPr>
                      <w:rFonts w:ascii="Times New Roman" w:hAnsi="Times New Roman"/>
                      <w:snapToGrid w:val="0"/>
                      <w:w w:val="102"/>
                      <w:kern w:val="0"/>
                      <w:sz w:val="24"/>
                      <w:szCs w:val="24"/>
                      <w:highlight w:val="lightGray"/>
                    </w:rPr>
                    <w:t>As from the fifteenth trading day of the month immediately preceding the delivery month</w:t>
                  </w:r>
                </w:p>
              </w:tc>
              <w:tc>
                <w:tcPr>
                  <w:tcW w:w="1513" w:type="pct"/>
                  <w:tcBorders>
                    <w:top w:val="single" w:sz="4" w:space="0" w:color="231F20"/>
                    <w:left w:val="single" w:sz="2" w:space="0" w:color="231F20"/>
                    <w:bottom w:val="single" w:sz="4" w:space="0" w:color="231F20"/>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highlight w:val="lightGray"/>
                    </w:rPr>
                  </w:pPr>
                  <w:r>
                    <w:rPr>
                      <w:rFonts w:ascii="Times New Roman" w:hAnsi="Times New Roman" w:hint="eastAsia"/>
                      <w:snapToGrid w:val="0"/>
                      <w:w w:val="102"/>
                      <w:kern w:val="0"/>
                      <w:sz w:val="24"/>
                      <w:szCs w:val="24"/>
                      <w:highlight w:val="lightGray"/>
                    </w:rPr>
                    <w:t>300</w:t>
                  </w:r>
                </w:p>
              </w:tc>
              <w:tc>
                <w:tcPr>
                  <w:tcW w:w="765" w:type="pct"/>
                  <w:tcBorders>
                    <w:top w:val="single" w:sz="4" w:space="0" w:color="231F20"/>
                    <w:left w:val="single" w:sz="2" w:space="0" w:color="231F20"/>
                    <w:bottom w:val="single" w:sz="4" w:space="0" w:color="231F20"/>
                    <w:right w:val="single" w:sz="4"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highlight w:val="lightGray"/>
                    </w:rPr>
                  </w:pPr>
                  <w:r>
                    <w:rPr>
                      <w:rFonts w:ascii="Times New Roman" w:hAnsi="Times New Roman" w:hint="eastAsia"/>
                      <w:snapToGrid w:val="0"/>
                      <w:w w:val="102"/>
                      <w:kern w:val="0"/>
                      <w:sz w:val="24"/>
                      <w:szCs w:val="24"/>
                      <w:highlight w:val="lightGray"/>
                    </w:rPr>
                    <w:t>300</w:t>
                  </w:r>
                </w:p>
              </w:tc>
            </w:tr>
            <w:tr w:rsidR="009E67C7" w:rsidTr="00864FCF">
              <w:trPr>
                <w:trHeight w:val="465"/>
                <w:jc w:val="right"/>
              </w:trPr>
              <w:tc>
                <w:tcPr>
                  <w:tcW w:w="1209" w:type="pct"/>
                  <w:vMerge/>
                  <w:tcBorders>
                    <w:left w:val="single" w:sz="4" w:space="0" w:color="auto"/>
                    <w:bottom w:val="single" w:sz="4" w:space="0" w:color="auto"/>
                    <w:right w:val="single" w:sz="4" w:space="0" w:color="auto"/>
                  </w:tcBorders>
                  <w:vAlign w:val="center"/>
                </w:tcPr>
                <w:p w:rsidR="009E67C7" w:rsidRDefault="009E67C7" w:rsidP="00864FCF">
                  <w:pPr>
                    <w:widowControl/>
                    <w:adjustRightInd w:val="0"/>
                    <w:snapToGrid w:val="0"/>
                    <w:spacing w:before="200" w:line="288" w:lineRule="auto"/>
                    <w:jc w:val="left"/>
                    <w:rPr>
                      <w:rFonts w:ascii="Times New Roman" w:hAnsi="Times New Roman"/>
                      <w:snapToGrid w:val="0"/>
                      <w:w w:val="102"/>
                      <w:kern w:val="0"/>
                      <w:sz w:val="24"/>
                      <w:szCs w:val="24"/>
                      <w:highlight w:val="lightGray"/>
                    </w:rPr>
                  </w:pPr>
                </w:p>
              </w:tc>
              <w:tc>
                <w:tcPr>
                  <w:tcW w:w="1512" w:type="pct"/>
                  <w:tcBorders>
                    <w:top w:val="single" w:sz="4" w:space="0" w:color="231F20"/>
                    <w:left w:val="single" w:sz="4" w:space="0" w:color="auto"/>
                    <w:bottom w:val="single" w:sz="4" w:space="0" w:color="auto"/>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highlight w:val="lightGray"/>
                    </w:rPr>
                  </w:pPr>
                  <w:r>
                    <w:rPr>
                      <w:rFonts w:ascii="Times New Roman" w:hAnsi="Times New Roman"/>
                      <w:snapToGrid w:val="0"/>
                      <w:w w:val="102"/>
                      <w:kern w:val="0"/>
                      <w:sz w:val="24"/>
                      <w:szCs w:val="24"/>
                      <w:highlight w:val="lightGray"/>
                    </w:rPr>
                    <w:t>Delivery month</w:t>
                  </w:r>
                </w:p>
              </w:tc>
              <w:tc>
                <w:tcPr>
                  <w:tcW w:w="1513" w:type="pct"/>
                  <w:tcBorders>
                    <w:top w:val="single" w:sz="4" w:space="0" w:color="231F20"/>
                    <w:left w:val="single" w:sz="2" w:space="0" w:color="231F20"/>
                    <w:bottom w:val="single" w:sz="4" w:space="0" w:color="auto"/>
                    <w:right w:val="single" w:sz="2"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highlight w:val="lightGray"/>
                    </w:rPr>
                  </w:pPr>
                  <w:r>
                    <w:rPr>
                      <w:rFonts w:ascii="Times New Roman" w:hAnsi="Times New Roman" w:hint="eastAsia"/>
                      <w:snapToGrid w:val="0"/>
                      <w:w w:val="102"/>
                      <w:kern w:val="0"/>
                      <w:sz w:val="24"/>
                      <w:szCs w:val="24"/>
                      <w:highlight w:val="lightGray"/>
                    </w:rPr>
                    <w:t>60</w:t>
                  </w:r>
                </w:p>
              </w:tc>
              <w:tc>
                <w:tcPr>
                  <w:tcW w:w="765" w:type="pct"/>
                  <w:tcBorders>
                    <w:top w:val="single" w:sz="4" w:space="0" w:color="231F20"/>
                    <w:left w:val="single" w:sz="2" w:space="0" w:color="231F20"/>
                    <w:bottom w:val="single" w:sz="4" w:space="0" w:color="auto"/>
                    <w:right w:val="single" w:sz="4" w:space="0" w:color="231F20"/>
                  </w:tcBorders>
                </w:tcPr>
                <w:p w:rsidR="009E67C7" w:rsidRDefault="009E67C7"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hint="eastAsia"/>
                      <w:snapToGrid w:val="0"/>
                      <w:w w:val="102"/>
                      <w:kern w:val="0"/>
                      <w:sz w:val="24"/>
                      <w:szCs w:val="24"/>
                      <w:highlight w:val="lightGray"/>
                    </w:rPr>
                    <w:t>60</w:t>
                  </w:r>
                </w:p>
              </w:tc>
            </w:tr>
          </w:tbl>
          <w:p w:rsidR="009E67C7" w:rsidRDefault="009E67C7" w:rsidP="00864FCF">
            <w:pPr>
              <w:rPr>
                <w:sz w:val="24"/>
                <w:szCs w:val="24"/>
              </w:rPr>
            </w:pPr>
          </w:p>
          <w:p w:rsidR="009E67C7" w:rsidRDefault="009E67C7" w:rsidP="00864FCF">
            <w:pPr>
              <w:adjustRightInd w:val="0"/>
              <w:snapToGrid w:val="0"/>
              <w:spacing w:before="200" w:line="288" w:lineRule="auto"/>
              <w:jc w:val="left"/>
              <w:rPr>
                <w:rFonts w:ascii="Times New Roman" w:hAnsi="Times New Roman"/>
                <w:b/>
                <w:bCs/>
                <w:sz w:val="24"/>
                <w:szCs w:val="24"/>
              </w:rPr>
            </w:pPr>
            <w:r>
              <w:rPr>
                <w:rFonts w:ascii="Times New Roman" w:hAnsi="Times New Roman"/>
                <w:bCs/>
                <w:snapToGrid w:val="0"/>
                <w:w w:val="102"/>
                <w:kern w:val="0"/>
                <w:sz w:val="24"/>
                <w:szCs w:val="24"/>
              </w:rPr>
              <w:t>……</w:t>
            </w:r>
          </w:p>
        </w:tc>
      </w:tr>
    </w:tbl>
    <w:p w:rsidR="009E67C7" w:rsidRDefault="009E67C7" w:rsidP="009E67C7">
      <w:pPr>
        <w:adjustRightInd w:val="0"/>
        <w:snapToGrid w:val="0"/>
        <w:spacing w:before="200" w:line="288" w:lineRule="auto"/>
        <w:jc w:val="center"/>
        <w:rPr>
          <w:rFonts w:ascii="Times New Roman" w:hAnsi="Times New Roman"/>
          <w:b/>
          <w:bCs/>
          <w:sz w:val="24"/>
          <w:szCs w:val="24"/>
        </w:rPr>
      </w:pPr>
    </w:p>
    <w:p w:rsidR="009E67C7" w:rsidRDefault="009E67C7" w:rsidP="009E67C7">
      <w:pPr>
        <w:adjustRightInd w:val="0"/>
        <w:snapToGrid w:val="0"/>
        <w:spacing w:before="200" w:line="288" w:lineRule="auto"/>
        <w:jc w:val="center"/>
        <w:rPr>
          <w:rFonts w:ascii="Times New Roman" w:hAnsi="Times New Roman"/>
          <w:b/>
          <w:bCs/>
          <w:sz w:val="24"/>
          <w:szCs w:val="24"/>
        </w:rPr>
      </w:pPr>
    </w:p>
    <w:p w:rsidR="00697612" w:rsidRDefault="00697612"/>
    <w:sectPr w:rsidR="00697612">
      <w:footerReference w:type="default" r:id="rId6"/>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C7" w:rsidRDefault="009E67C7" w:rsidP="009E67C7">
      <w:r>
        <w:separator/>
      </w:r>
    </w:p>
  </w:endnote>
  <w:endnote w:type="continuationSeparator" w:id="0">
    <w:p w:rsidR="009E67C7" w:rsidRDefault="009E67C7" w:rsidP="009E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0A" w:rsidRDefault="009E67C7">
    <w:pPr>
      <w:pStyle w:val="a7"/>
      <w:jc w:val="center"/>
      <w:rPr>
        <w:sz w:val="24"/>
        <w:szCs w:val="24"/>
      </w:rPr>
    </w:pPr>
    <w:r>
      <w:rPr>
        <w:rFonts w:hint="eastAsia"/>
        <w:sz w:val="24"/>
        <w:szCs w:val="24"/>
      </w:rPr>
      <w:t xml:space="preserve">- </w:t>
    </w:r>
    <w:sdt>
      <w:sdtPr>
        <w:rPr>
          <w:sz w:val="24"/>
          <w:szCs w:val="24"/>
        </w:rPr>
        <w:id w:val="1930772357"/>
      </w:sdtPr>
      <w:sdtEndPr/>
      <w:sdtContent>
        <w:r>
          <w:rPr>
            <w:sz w:val="24"/>
            <w:szCs w:val="24"/>
          </w:rPr>
          <w:fldChar w:fldCharType="begin"/>
        </w:r>
        <w:r>
          <w:rPr>
            <w:sz w:val="24"/>
            <w:szCs w:val="24"/>
          </w:rPr>
          <w:instrText>PAGE   \* MERGEFORMAT</w:instrText>
        </w:r>
        <w:r>
          <w:rPr>
            <w:sz w:val="24"/>
            <w:szCs w:val="24"/>
          </w:rPr>
          <w:fldChar w:fldCharType="separate"/>
        </w:r>
        <w:r w:rsidRPr="009E67C7">
          <w:rPr>
            <w:noProof/>
            <w:sz w:val="24"/>
            <w:szCs w:val="24"/>
            <w:lang w:val="zh-CN"/>
          </w:rPr>
          <w:t>6</w:t>
        </w:r>
        <w:r>
          <w:rPr>
            <w:sz w:val="24"/>
            <w:szCs w:val="24"/>
          </w:rPr>
          <w:fldChar w:fldCharType="end"/>
        </w:r>
        <w:r>
          <w:rPr>
            <w:rFonts w:hint="eastAsia"/>
            <w:sz w:val="24"/>
            <w:szCs w:val="24"/>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C7" w:rsidRDefault="009E67C7" w:rsidP="009E67C7">
      <w:r>
        <w:separator/>
      </w:r>
    </w:p>
  </w:footnote>
  <w:footnote w:type="continuationSeparator" w:id="0">
    <w:p w:rsidR="009E67C7" w:rsidRDefault="009E67C7" w:rsidP="009E6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6C"/>
    <w:rsid w:val="0013476C"/>
    <w:rsid w:val="002168EB"/>
    <w:rsid w:val="00697612"/>
    <w:rsid w:val="0078133A"/>
    <w:rsid w:val="009E6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7540DE7-1B11-4CF5-98EE-DC813163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7C7"/>
    <w:pPr>
      <w:widowControl w:val="0"/>
      <w:jc w:val="both"/>
    </w:pPr>
    <w:rPr>
      <w:rFonts w:ascii="Calibri" w:hAnsi="Calibri" w:cs="Calibri"/>
      <w:kern w:val="2"/>
      <w:sz w:val="21"/>
      <w:szCs w:val="21"/>
    </w:rPr>
  </w:style>
  <w:style w:type="paragraph" w:styleId="2">
    <w:name w:val="heading 2"/>
    <w:basedOn w:val="a"/>
    <w:next w:val="a"/>
    <w:link w:val="20"/>
    <w:uiPriority w:val="9"/>
    <w:qFormat/>
    <w:rsid w:val="0078133A"/>
    <w:pPr>
      <w:spacing w:before="100" w:beforeAutospacing="1" w:after="100" w:afterAutospacing="1"/>
      <w:jc w:val="left"/>
      <w:outlineLvl w:val="1"/>
    </w:pPr>
    <w:rPr>
      <w:rFonts w:ascii="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v">
    <w:name w:val="div"/>
    <w:basedOn w:val="a"/>
    <w:qFormat/>
    <w:rsid w:val="0078133A"/>
    <w:pPr>
      <w:textAlignment w:val="baseline"/>
    </w:pPr>
    <w:rPr>
      <w:rFonts w:ascii="等线" w:eastAsia="等线" w:hAnsi="等线" w:cs="Times New Roman"/>
      <w:sz w:val="24"/>
      <w:szCs w:val="24"/>
    </w:rPr>
  </w:style>
  <w:style w:type="character" w:customStyle="1" w:styleId="fulltext-wrapnavtiao">
    <w:name w:val="fulltext-wrap_navtiao"/>
    <w:qFormat/>
    <w:rsid w:val="0078133A"/>
    <w:rPr>
      <w:b/>
      <w:bCs/>
    </w:rPr>
  </w:style>
  <w:style w:type="paragraph" w:customStyle="1" w:styleId="fulltext-wraptitle">
    <w:name w:val="fulltext-wrap_title"/>
    <w:basedOn w:val="a"/>
    <w:qFormat/>
    <w:rsid w:val="0078133A"/>
    <w:pPr>
      <w:jc w:val="center"/>
    </w:pPr>
    <w:rPr>
      <w:rFonts w:ascii="等线" w:eastAsia="等线" w:hAnsi="等线" w:cs="Times New Roman"/>
      <w:sz w:val="30"/>
      <w:szCs w:val="30"/>
    </w:rPr>
  </w:style>
  <w:style w:type="character" w:customStyle="1" w:styleId="fulltext-wrapfulltexta">
    <w:name w:val="fulltext-wrap_fulltext_a"/>
    <w:qFormat/>
    <w:rsid w:val="0078133A"/>
    <w:rPr>
      <w:color w:val="218FC4"/>
    </w:rPr>
  </w:style>
  <w:style w:type="character" w:customStyle="1" w:styleId="20">
    <w:name w:val="标题 2 字符"/>
    <w:basedOn w:val="a0"/>
    <w:link w:val="2"/>
    <w:uiPriority w:val="9"/>
    <w:rsid w:val="0078133A"/>
    <w:rPr>
      <w:rFonts w:ascii="宋体" w:hAnsi="宋体"/>
      <w:b/>
      <w:sz w:val="36"/>
      <w:szCs w:val="36"/>
    </w:rPr>
  </w:style>
  <w:style w:type="paragraph" w:styleId="a3">
    <w:name w:val="annotation text"/>
    <w:basedOn w:val="a"/>
    <w:link w:val="a4"/>
    <w:uiPriority w:val="99"/>
    <w:unhideWhenUsed/>
    <w:qFormat/>
    <w:rsid w:val="0078133A"/>
    <w:pPr>
      <w:jc w:val="left"/>
    </w:pPr>
    <w:rPr>
      <w:rFonts w:ascii="Times New Roman" w:hAnsi="Times New Roman" w:cs="Times New Roman"/>
      <w:kern w:val="0"/>
      <w:sz w:val="20"/>
      <w:szCs w:val="20"/>
    </w:rPr>
  </w:style>
  <w:style w:type="character" w:customStyle="1" w:styleId="a4">
    <w:name w:val="批注文字 字符"/>
    <w:link w:val="a3"/>
    <w:uiPriority w:val="99"/>
    <w:qFormat/>
    <w:rsid w:val="0078133A"/>
  </w:style>
  <w:style w:type="paragraph" w:styleId="a5">
    <w:name w:val="header"/>
    <w:basedOn w:val="a"/>
    <w:link w:val="a6"/>
    <w:uiPriority w:val="99"/>
    <w:unhideWhenUsed/>
    <w:qFormat/>
    <w:rsid w:val="0078133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a6">
    <w:name w:val="页眉 字符"/>
    <w:link w:val="a5"/>
    <w:uiPriority w:val="99"/>
    <w:qFormat/>
    <w:rsid w:val="0078133A"/>
    <w:rPr>
      <w:sz w:val="18"/>
      <w:szCs w:val="18"/>
    </w:rPr>
  </w:style>
  <w:style w:type="paragraph" w:styleId="a7">
    <w:name w:val="footer"/>
    <w:basedOn w:val="a"/>
    <w:link w:val="a8"/>
    <w:unhideWhenUsed/>
    <w:qFormat/>
    <w:rsid w:val="0078133A"/>
    <w:pPr>
      <w:tabs>
        <w:tab w:val="center" w:pos="4153"/>
        <w:tab w:val="right" w:pos="8306"/>
      </w:tabs>
      <w:snapToGrid w:val="0"/>
      <w:jc w:val="left"/>
    </w:pPr>
    <w:rPr>
      <w:rFonts w:ascii="Times New Roman" w:hAnsi="Times New Roman" w:cs="Times New Roman"/>
      <w:kern w:val="0"/>
      <w:sz w:val="18"/>
      <w:szCs w:val="18"/>
    </w:rPr>
  </w:style>
  <w:style w:type="character" w:customStyle="1" w:styleId="a8">
    <w:name w:val="页脚 字符"/>
    <w:link w:val="a7"/>
    <w:uiPriority w:val="99"/>
    <w:qFormat/>
    <w:rsid w:val="0078133A"/>
    <w:rPr>
      <w:sz w:val="18"/>
      <w:szCs w:val="18"/>
    </w:rPr>
  </w:style>
  <w:style w:type="character" w:styleId="a9">
    <w:name w:val="annotation reference"/>
    <w:uiPriority w:val="99"/>
    <w:unhideWhenUsed/>
    <w:qFormat/>
    <w:rsid w:val="0078133A"/>
    <w:rPr>
      <w:sz w:val="21"/>
      <w:szCs w:val="21"/>
    </w:rPr>
  </w:style>
  <w:style w:type="character" w:styleId="aa">
    <w:name w:val="Hyperlink"/>
    <w:uiPriority w:val="99"/>
    <w:unhideWhenUsed/>
    <w:qFormat/>
    <w:rsid w:val="0078133A"/>
    <w:rPr>
      <w:color w:val="0000FF"/>
      <w:u w:val="single"/>
    </w:rPr>
  </w:style>
  <w:style w:type="paragraph" w:styleId="ab">
    <w:name w:val="Normal (Web)"/>
    <w:basedOn w:val="a"/>
    <w:uiPriority w:val="99"/>
    <w:unhideWhenUsed/>
    <w:qFormat/>
    <w:rsid w:val="0078133A"/>
    <w:pPr>
      <w:spacing w:before="100" w:beforeAutospacing="1" w:after="100" w:afterAutospacing="1"/>
      <w:jc w:val="left"/>
    </w:pPr>
    <w:rPr>
      <w:rFonts w:ascii="等线" w:eastAsia="等线" w:hAnsi="等线" w:cs="Times New Roman"/>
      <w:kern w:val="0"/>
      <w:sz w:val="24"/>
      <w:szCs w:val="22"/>
    </w:rPr>
  </w:style>
  <w:style w:type="paragraph" w:styleId="HTML">
    <w:name w:val="HTML Preformatted"/>
    <w:basedOn w:val="a"/>
    <w:link w:val="HTML0"/>
    <w:uiPriority w:val="99"/>
    <w:unhideWhenUsed/>
    <w:qFormat/>
    <w:rsid w:val="0078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character" w:customStyle="1" w:styleId="HTML0">
    <w:name w:val="HTML 预设格式 字符"/>
    <w:basedOn w:val="a0"/>
    <w:link w:val="HTML"/>
    <w:uiPriority w:val="99"/>
    <w:rsid w:val="0078133A"/>
    <w:rPr>
      <w:rFonts w:ascii="宋体" w:hAnsi="宋体"/>
      <w:sz w:val="24"/>
      <w:szCs w:val="24"/>
    </w:rPr>
  </w:style>
  <w:style w:type="paragraph" w:styleId="ac">
    <w:name w:val="annotation subject"/>
    <w:basedOn w:val="a3"/>
    <w:next w:val="a3"/>
    <w:link w:val="ad"/>
    <w:uiPriority w:val="99"/>
    <w:unhideWhenUsed/>
    <w:qFormat/>
    <w:rsid w:val="0078133A"/>
    <w:rPr>
      <w:b/>
      <w:bCs/>
    </w:rPr>
  </w:style>
  <w:style w:type="character" w:customStyle="1" w:styleId="ad">
    <w:name w:val="批注主题 字符"/>
    <w:link w:val="ac"/>
    <w:uiPriority w:val="99"/>
    <w:qFormat/>
    <w:rsid w:val="0078133A"/>
    <w:rPr>
      <w:b/>
      <w:bCs/>
    </w:rPr>
  </w:style>
  <w:style w:type="paragraph" w:styleId="ae">
    <w:name w:val="Balloon Text"/>
    <w:basedOn w:val="a"/>
    <w:link w:val="af"/>
    <w:uiPriority w:val="99"/>
    <w:unhideWhenUsed/>
    <w:qFormat/>
    <w:rsid w:val="0078133A"/>
    <w:rPr>
      <w:rFonts w:ascii="Times New Roman" w:hAnsi="Times New Roman" w:cs="Times New Roman"/>
      <w:kern w:val="0"/>
      <w:sz w:val="18"/>
      <w:szCs w:val="18"/>
    </w:rPr>
  </w:style>
  <w:style w:type="character" w:customStyle="1" w:styleId="af">
    <w:name w:val="批注框文本 字符"/>
    <w:link w:val="ae"/>
    <w:uiPriority w:val="99"/>
    <w:qFormat/>
    <w:rsid w:val="0078133A"/>
    <w:rPr>
      <w:sz w:val="18"/>
      <w:szCs w:val="18"/>
    </w:rPr>
  </w:style>
  <w:style w:type="table" w:styleId="af0">
    <w:name w:val="Table Grid"/>
    <w:basedOn w:val="a1"/>
    <w:uiPriority w:val="39"/>
    <w:qFormat/>
    <w:rsid w:val="009E67C7"/>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页脚 字符1"/>
    <w:basedOn w:val="a0"/>
    <w:uiPriority w:val="99"/>
    <w:qFormat/>
    <w:locked/>
    <w:rsid w:val="009E67C7"/>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1587</Words>
  <Characters>9047</Characters>
  <Application>Microsoft Office Word</Application>
  <DocSecurity>0</DocSecurity>
  <Lines>75</Lines>
  <Paragraphs>21</Paragraphs>
  <ScaleCrop>false</ScaleCrop>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2024-10-25T09:10:00Z</dcterms:created>
  <dcterms:modified xsi:type="dcterms:W3CDTF">2024-10-25T09:10:00Z</dcterms:modified>
</cp:coreProperties>
</file>