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C5" w:rsidRDefault="007A2BC5" w:rsidP="007A2BC5">
      <w:pPr>
        <w:spacing w:line="440" w:lineRule="exact"/>
        <w:mirrorIndents/>
        <w:rPr>
          <w:rFonts w:ascii="仿宋_GB2312" w:eastAsia="仿宋_GB2312" w:hAnsi="宋体" w:cs="宋体"/>
          <w:kern w:val="0"/>
          <w:sz w:val="24"/>
        </w:rPr>
      </w:pPr>
      <w:r>
        <w:rPr>
          <w:rFonts w:ascii="仿宋_GB2312" w:eastAsia="仿宋_GB2312" w:hAnsi="宋体" w:cs="宋体" w:hint="eastAsia"/>
          <w:kern w:val="0"/>
          <w:sz w:val="24"/>
        </w:rPr>
        <w:t>附件25：</w:t>
      </w:r>
    </w:p>
    <w:p w:rsidR="007A2BC5" w:rsidRPr="00F46B7D" w:rsidRDefault="007A2BC5" w:rsidP="007A2BC5">
      <w:pPr>
        <w:adjustRightInd w:val="0"/>
        <w:snapToGrid w:val="0"/>
        <w:spacing w:line="540" w:lineRule="exact"/>
        <w:ind w:firstLineChars="200" w:firstLine="602"/>
        <w:jc w:val="center"/>
        <w:rPr>
          <w:rFonts w:ascii="仿宋_GB2312" w:eastAsia="仿宋_GB2312"/>
          <w:b/>
          <w:sz w:val="30"/>
          <w:szCs w:val="30"/>
        </w:rPr>
      </w:pPr>
      <w:r w:rsidRPr="00F46B7D">
        <w:rPr>
          <w:rFonts w:ascii="仿宋_GB2312" w:eastAsia="仿宋_GB2312" w:hint="eastAsia"/>
          <w:b/>
          <w:sz w:val="30"/>
          <w:szCs w:val="30"/>
        </w:rPr>
        <w:t>大连商品交易所纤维板交割质量标准</w:t>
      </w:r>
    </w:p>
    <w:p w:rsidR="007A2BC5" w:rsidRDefault="007A2BC5" w:rsidP="007A2BC5">
      <w:pPr>
        <w:adjustRightInd w:val="0"/>
        <w:snapToGrid w:val="0"/>
        <w:spacing w:line="540" w:lineRule="exact"/>
        <w:ind w:firstLineChars="200" w:firstLine="480"/>
        <w:jc w:val="center"/>
        <w:rPr>
          <w:rFonts w:ascii="仿宋_GB2312" w:eastAsia="仿宋_GB2312"/>
          <w:sz w:val="24"/>
          <w:szCs w:val="24"/>
        </w:rPr>
      </w:pPr>
      <w:r w:rsidRPr="004231D7">
        <w:rPr>
          <w:rFonts w:ascii="仿宋_GB2312" w:eastAsia="仿宋_GB2312" w:hint="eastAsia"/>
          <w:sz w:val="24"/>
          <w:szCs w:val="24"/>
        </w:rPr>
        <w:t>(F/DCE FB001-2013)</w:t>
      </w:r>
    </w:p>
    <w:p w:rsidR="007A2BC5" w:rsidRPr="004231D7" w:rsidRDefault="007A2BC5" w:rsidP="007A2BC5">
      <w:pPr>
        <w:adjustRightInd w:val="0"/>
        <w:snapToGrid w:val="0"/>
        <w:spacing w:line="540" w:lineRule="exact"/>
        <w:ind w:firstLineChars="200" w:firstLine="480"/>
        <w:jc w:val="center"/>
        <w:rPr>
          <w:rFonts w:ascii="仿宋_GB2312" w:eastAsia="仿宋_GB2312"/>
          <w:sz w:val="24"/>
          <w:szCs w:val="24"/>
        </w:rPr>
      </w:pP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1  主题内容与适用范围</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1.1本标准规定了用于大连商品交易所交割的纤维板质量要求、试验方法、检验规则和包装、运输要求等。</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 xml:space="preserve">1.2 本标准适用于大连商品交易所纤维板期货合约交割标准品和替代品。 </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2  规范性引用文件</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下列文件中的条款通过本标准的引用而成为本标准的条款。凡是注日期的引用文件，其随后所有的修改单（不包括勘误的内容）或修订版均不适用于本标准。凡是不注日期的引用文件，其最新版本适用于本标准。</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GB/T 11718 中密度纤维板</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GB 18580 室内装饰装修材料人造板及其制品中甲醛释放限量</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3  术语和定义</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应符合GB/T 11718、GB 18580中术语和定义的有关规定。</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4  质量要求</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4.1表面应砂光，外观质量符合GB/T 11718优等品的要求。</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4.2幅面尺寸：</w:t>
      </w:r>
    </w:p>
    <w:tbl>
      <w:tblPr>
        <w:tblW w:w="5393" w:type="dxa"/>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15"/>
        <w:gridCol w:w="1657"/>
        <w:gridCol w:w="2921"/>
      </w:tblGrid>
      <w:tr w:rsidR="007A2BC5" w:rsidRPr="004231D7" w:rsidTr="00844B44">
        <w:trPr>
          <w:trHeight w:val="457"/>
          <w:jc w:val="center"/>
        </w:trPr>
        <w:tc>
          <w:tcPr>
            <w:tcW w:w="0" w:type="auto"/>
            <w:shd w:val="clear" w:color="auto" w:fill="FFFFFF"/>
            <w:vAlign w:val="center"/>
          </w:tcPr>
          <w:p w:rsidR="007A2BC5" w:rsidRPr="004231D7" w:rsidRDefault="007A2BC5" w:rsidP="00844B44">
            <w:pPr>
              <w:adjustRightInd w:val="0"/>
              <w:snapToGrid w:val="0"/>
              <w:spacing w:line="540" w:lineRule="exact"/>
              <w:ind w:firstLineChars="200" w:firstLine="480"/>
              <w:jc w:val="center"/>
              <w:rPr>
                <w:rFonts w:ascii="仿宋_GB2312" w:eastAsia="仿宋_GB2312"/>
                <w:sz w:val="24"/>
                <w:szCs w:val="24"/>
              </w:rPr>
            </w:pPr>
          </w:p>
        </w:tc>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单位：mm</w:t>
            </w:r>
          </w:p>
        </w:tc>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升贴水(单位：元/张)</w:t>
            </w:r>
          </w:p>
        </w:tc>
      </w:tr>
      <w:tr w:rsidR="007A2BC5" w:rsidRPr="004231D7" w:rsidTr="00844B44">
        <w:trPr>
          <w:trHeight w:val="457"/>
          <w:jc w:val="center"/>
        </w:trPr>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宽度</w:t>
            </w:r>
          </w:p>
        </w:tc>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1220</w:t>
            </w:r>
          </w:p>
        </w:tc>
        <w:tc>
          <w:tcPr>
            <w:tcW w:w="0" w:type="auto"/>
            <w:shd w:val="clear" w:color="auto" w:fill="FFFFFF"/>
            <w:vAlign w:val="center"/>
          </w:tcPr>
          <w:p w:rsidR="007A2BC5" w:rsidRPr="004231D7" w:rsidRDefault="007A2BC5" w:rsidP="00844B44">
            <w:pPr>
              <w:adjustRightInd w:val="0"/>
              <w:snapToGrid w:val="0"/>
              <w:spacing w:line="540" w:lineRule="exact"/>
              <w:ind w:firstLineChars="200" w:firstLine="480"/>
              <w:jc w:val="center"/>
              <w:rPr>
                <w:rFonts w:ascii="仿宋_GB2312" w:eastAsia="仿宋_GB2312"/>
                <w:sz w:val="24"/>
                <w:szCs w:val="24"/>
              </w:rPr>
            </w:pPr>
            <w:r w:rsidRPr="004231D7">
              <w:rPr>
                <w:rFonts w:ascii="仿宋_GB2312" w:eastAsia="仿宋_GB2312" w:hint="eastAsia"/>
                <w:sz w:val="24"/>
                <w:szCs w:val="24"/>
              </w:rPr>
              <w:t>-</w:t>
            </w:r>
          </w:p>
        </w:tc>
      </w:tr>
      <w:tr w:rsidR="007A2BC5" w:rsidRPr="004231D7" w:rsidTr="00844B44">
        <w:trPr>
          <w:trHeight w:val="467"/>
          <w:jc w:val="center"/>
        </w:trPr>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长度</w:t>
            </w:r>
          </w:p>
        </w:tc>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2440</w:t>
            </w:r>
          </w:p>
        </w:tc>
        <w:tc>
          <w:tcPr>
            <w:tcW w:w="0" w:type="auto"/>
            <w:shd w:val="clear" w:color="auto" w:fill="FFFFFF"/>
            <w:vAlign w:val="center"/>
          </w:tcPr>
          <w:p w:rsidR="007A2BC5" w:rsidRPr="004231D7" w:rsidRDefault="007A2BC5" w:rsidP="00844B44">
            <w:pPr>
              <w:adjustRightInd w:val="0"/>
              <w:snapToGrid w:val="0"/>
              <w:spacing w:line="540" w:lineRule="exact"/>
              <w:ind w:firstLineChars="200" w:firstLine="480"/>
              <w:jc w:val="center"/>
              <w:rPr>
                <w:rFonts w:ascii="仿宋_GB2312" w:eastAsia="仿宋_GB2312"/>
                <w:sz w:val="24"/>
                <w:szCs w:val="24"/>
              </w:rPr>
            </w:pPr>
            <w:r w:rsidRPr="004231D7">
              <w:rPr>
                <w:rFonts w:ascii="仿宋_GB2312" w:eastAsia="仿宋_GB2312" w:hint="eastAsia"/>
                <w:sz w:val="24"/>
                <w:szCs w:val="24"/>
              </w:rPr>
              <w:t>-</w:t>
            </w:r>
          </w:p>
        </w:tc>
      </w:tr>
      <w:tr w:rsidR="007A2BC5" w:rsidRPr="004231D7" w:rsidTr="00844B44">
        <w:trPr>
          <w:trHeight w:val="457"/>
          <w:jc w:val="center"/>
        </w:trPr>
        <w:tc>
          <w:tcPr>
            <w:tcW w:w="0" w:type="auto"/>
            <w:vMerge w:val="restar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厚度</w:t>
            </w:r>
          </w:p>
        </w:tc>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标准品：15</w:t>
            </w:r>
          </w:p>
        </w:tc>
        <w:tc>
          <w:tcPr>
            <w:tcW w:w="0" w:type="auto"/>
            <w:shd w:val="clear" w:color="auto" w:fill="FFFFFF"/>
            <w:vAlign w:val="center"/>
          </w:tcPr>
          <w:p w:rsidR="007A2BC5" w:rsidRPr="004231D7" w:rsidRDefault="007A2BC5" w:rsidP="00844B44">
            <w:pPr>
              <w:adjustRightInd w:val="0"/>
              <w:snapToGrid w:val="0"/>
              <w:spacing w:line="540" w:lineRule="exact"/>
              <w:ind w:firstLineChars="200" w:firstLine="480"/>
              <w:jc w:val="center"/>
              <w:rPr>
                <w:rFonts w:ascii="仿宋_GB2312" w:eastAsia="仿宋_GB2312"/>
                <w:sz w:val="24"/>
                <w:szCs w:val="24"/>
              </w:rPr>
            </w:pPr>
            <w:r w:rsidRPr="004231D7">
              <w:rPr>
                <w:rFonts w:ascii="仿宋_GB2312" w:eastAsia="仿宋_GB2312" w:hint="eastAsia"/>
                <w:sz w:val="24"/>
                <w:szCs w:val="24"/>
              </w:rPr>
              <w:t>0</w:t>
            </w:r>
          </w:p>
        </w:tc>
      </w:tr>
      <w:tr w:rsidR="007A2BC5" w:rsidRPr="004231D7" w:rsidTr="00844B44">
        <w:trPr>
          <w:trHeight w:val="115"/>
          <w:jc w:val="center"/>
        </w:trPr>
        <w:tc>
          <w:tcPr>
            <w:tcW w:w="0" w:type="auto"/>
            <w:vMerge/>
            <w:shd w:val="clear" w:color="auto" w:fill="FFFFFF"/>
            <w:vAlign w:val="center"/>
          </w:tcPr>
          <w:p w:rsidR="007A2BC5" w:rsidRPr="004231D7" w:rsidRDefault="007A2BC5" w:rsidP="00844B44">
            <w:pPr>
              <w:adjustRightInd w:val="0"/>
              <w:snapToGrid w:val="0"/>
              <w:spacing w:line="540" w:lineRule="exact"/>
              <w:ind w:firstLineChars="200" w:firstLine="480"/>
              <w:jc w:val="center"/>
              <w:rPr>
                <w:rFonts w:ascii="仿宋_GB2312" w:eastAsia="仿宋_GB2312"/>
                <w:sz w:val="24"/>
                <w:szCs w:val="24"/>
              </w:rPr>
            </w:pPr>
          </w:p>
        </w:tc>
        <w:tc>
          <w:tcPr>
            <w:tcW w:w="0" w:type="auto"/>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替代品：18</w:t>
            </w:r>
          </w:p>
        </w:tc>
        <w:tc>
          <w:tcPr>
            <w:tcW w:w="0" w:type="auto"/>
            <w:shd w:val="clear" w:color="auto" w:fill="FFFFFF"/>
            <w:vAlign w:val="center"/>
          </w:tcPr>
          <w:p w:rsidR="007A2BC5" w:rsidRPr="004231D7" w:rsidRDefault="007A2BC5" w:rsidP="00844B44">
            <w:pPr>
              <w:adjustRightInd w:val="0"/>
              <w:snapToGrid w:val="0"/>
              <w:spacing w:line="540" w:lineRule="exact"/>
              <w:ind w:firstLineChars="200" w:firstLine="480"/>
              <w:jc w:val="center"/>
              <w:rPr>
                <w:rFonts w:ascii="仿宋_GB2312" w:eastAsia="仿宋_GB2312"/>
                <w:sz w:val="24"/>
                <w:szCs w:val="24"/>
              </w:rPr>
            </w:pPr>
            <w:r w:rsidRPr="004231D7">
              <w:rPr>
                <w:rFonts w:ascii="仿宋_GB2312" w:eastAsia="仿宋_GB2312" w:hint="eastAsia"/>
                <w:sz w:val="24"/>
                <w:szCs w:val="24"/>
              </w:rPr>
              <w:t>6</w:t>
            </w:r>
          </w:p>
        </w:tc>
      </w:tr>
    </w:tbl>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4.3尺寸偏差、密度及偏差和含水率符合GB/T 11718中的要求。</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lastRenderedPageBreak/>
        <w:t>4.4物理力学性能符合GB/T 11718中家具型中密度纤维板的要求。</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4.5甲醛释放限量: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43"/>
        <w:gridCol w:w="1820"/>
        <w:gridCol w:w="1820"/>
        <w:gridCol w:w="1820"/>
        <w:gridCol w:w="1819"/>
      </w:tblGrid>
      <w:tr w:rsidR="007A2BC5" w:rsidRPr="004231D7" w:rsidTr="00844B44">
        <w:trPr>
          <w:trHeight w:val="457"/>
          <w:jc w:val="center"/>
        </w:trPr>
        <w:tc>
          <w:tcPr>
            <w:tcW w:w="729"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甲醛释放限量标志</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执行标准</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试验方法</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限量值</w:t>
            </w:r>
          </w:p>
        </w:tc>
        <w:tc>
          <w:tcPr>
            <w:tcW w:w="1067"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升贴水</w:t>
            </w:r>
          </w:p>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(单位：元/张)</w:t>
            </w:r>
          </w:p>
        </w:tc>
      </w:tr>
      <w:tr w:rsidR="007A2BC5" w:rsidRPr="004231D7" w:rsidTr="00844B44">
        <w:trPr>
          <w:trHeight w:val="457"/>
          <w:jc w:val="center"/>
        </w:trPr>
        <w:tc>
          <w:tcPr>
            <w:tcW w:w="729"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E</w:t>
            </w:r>
            <w:r w:rsidRPr="004231D7">
              <w:rPr>
                <w:rFonts w:ascii="仿宋_GB2312" w:eastAsia="仿宋_GB2312" w:hint="eastAsia"/>
                <w:sz w:val="24"/>
                <w:szCs w:val="24"/>
                <w:vertAlign w:val="subscript"/>
              </w:rPr>
              <w:t>1</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GB/T 11718</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穿孔法</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≤8 mg/100g</w:t>
            </w:r>
          </w:p>
        </w:tc>
        <w:tc>
          <w:tcPr>
            <w:tcW w:w="1067"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w:t>
            </w:r>
          </w:p>
        </w:tc>
      </w:tr>
      <w:tr w:rsidR="007A2BC5" w:rsidRPr="004231D7" w:rsidTr="00844B44">
        <w:trPr>
          <w:trHeight w:val="467"/>
          <w:jc w:val="center"/>
        </w:trPr>
        <w:tc>
          <w:tcPr>
            <w:tcW w:w="729"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E</w:t>
            </w:r>
            <w:r w:rsidRPr="004231D7">
              <w:rPr>
                <w:rFonts w:ascii="仿宋_GB2312" w:eastAsia="仿宋_GB2312" w:hint="eastAsia"/>
                <w:sz w:val="24"/>
                <w:szCs w:val="24"/>
                <w:vertAlign w:val="subscript"/>
              </w:rPr>
              <w:t>2</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GB 18580</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穿孔萃取法</w:t>
            </w:r>
          </w:p>
        </w:tc>
        <w:tc>
          <w:tcPr>
            <w:tcW w:w="1068"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≤30 mg/100g</w:t>
            </w:r>
          </w:p>
        </w:tc>
        <w:tc>
          <w:tcPr>
            <w:tcW w:w="1067" w:type="pct"/>
            <w:shd w:val="clear" w:color="auto" w:fill="FFFFFF"/>
            <w:vAlign w:val="center"/>
          </w:tcPr>
          <w:p w:rsidR="007A2BC5" w:rsidRPr="004231D7" w:rsidRDefault="007A2BC5" w:rsidP="00844B44">
            <w:pPr>
              <w:adjustRightInd w:val="0"/>
              <w:snapToGrid w:val="0"/>
              <w:spacing w:line="540" w:lineRule="exact"/>
              <w:jc w:val="center"/>
              <w:rPr>
                <w:rFonts w:ascii="仿宋_GB2312" w:eastAsia="仿宋_GB2312"/>
                <w:sz w:val="24"/>
                <w:szCs w:val="24"/>
              </w:rPr>
            </w:pPr>
            <w:r w:rsidRPr="004231D7">
              <w:rPr>
                <w:rFonts w:ascii="仿宋_GB2312" w:eastAsia="仿宋_GB2312" w:hint="eastAsia"/>
                <w:sz w:val="24"/>
                <w:szCs w:val="24"/>
              </w:rPr>
              <w:t>-30</w:t>
            </w:r>
          </w:p>
        </w:tc>
      </w:tr>
    </w:tbl>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5  抽样、测量与检验和判定规则按照GB/T 11718的相关要求执行，其中理化性能抽样按照已验收合格的产品总体实施质量监督的要求进行。</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6  标志、包装、运输和贮存按照GB/T11718的要求执行。</w:t>
      </w:r>
    </w:p>
    <w:p w:rsidR="007A2BC5" w:rsidRPr="004231D7" w:rsidRDefault="007A2BC5" w:rsidP="007A2BC5">
      <w:pPr>
        <w:adjustRightInd w:val="0"/>
        <w:snapToGrid w:val="0"/>
        <w:spacing w:line="540" w:lineRule="exact"/>
        <w:ind w:firstLineChars="200" w:firstLine="480"/>
        <w:rPr>
          <w:rFonts w:ascii="仿宋_GB2312" w:eastAsia="仿宋_GB2312"/>
          <w:sz w:val="24"/>
          <w:szCs w:val="24"/>
        </w:rPr>
      </w:pPr>
      <w:r w:rsidRPr="004231D7">
        <w:rPr>
          <w:rFonts w:ascii="仿宋_GB2312" w:eastAsia="仿宋_GB2312" w:hint="eastAsia"/>
          <w:sz w:val="24"/>
          <w:szCs w:val="24"/>
        </w:rPr>
        <w:t>7  附加说明</w:t>
      </w:r>
    </w:p>
    <w:p w:rsidR="0023256E" w:rsidRPr="007A2BC5" w:rsidRDefault="007A2BC5" w:rsidP="008A3626">
      <w:pPr>
        <w:adjustRightInd w:val="0"/>
        <w:snapToGrid w:val="0"/>
        <w:spacing w:line="540" w:lineRule="exact"/>
        <w:ind w:firstLineChars="200" w:firstLine="480"/>
      </w:pPr>
      <w:r w:rsidRPr="004231D7">
        <w:rPr>
          <w:rFonts w:ascii="仿宋_GB2312" w:eastAsia="仿宋_GB2312" w:hint="eastAsia"/>
          <w:sz w:val="24"/>
          <w:szCs w:val="24"/>
        </w:rPr>
        <w:t>本标准由大连商品交易所负责解释。</w:t>
      </w:r>
    </w:p>
    <w:sectPr w:rsidR="0023256E" w:rsidRPr="007A2BC5" w:rsidSect="00D96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BC5"/>
    <w:rsid w:val="007A2BC5"/>
    <w:rsid w:val="00844C46"/>
    <w:rsid w:val="008A3626"/>
    <w:rsid w:val="00D96296"/>
    <w:rsid w:val="00ED7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2013-12-06T09:52:00Z</dcterms:created>
  <dcterms:modified xsi:type="dcterms:W3CDTF">2013-12-06T09:53:00Z</dcterms:modified>
</cp:coreProperties>
</file>