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5E" w:rsidRPr="002B2FE3" w:rsidRDefault="00DC3C5E" w:rsidP="00DC3C5E">
      <w:pPr>
        <w:pStyle w:val="1"/>
        <w:adjustRightInd w:val="0"/>
        <w:snapToGrid w:val="0"/>
        <w:ind w:firstLineChars="0" w:firstLine="0"/>
        <w:rPr>
          <w:rFonts w:ascii="Times New Roman" w:hAnsi="Times New Roman" w:cs="Times New Roman"/>
        </w:rPr>
      </w:pPr>
      <w:r w:rsidRPr="002B2FE3">
        <w:rPr>
          <w:rFonts w:ascii="Times New Roman" w:hAnsi="Times New Roman" w:cs="Times New Roman"/>
        </w:rPr>
        <w:t>附件</w:t>
      </w:r>
      <w:r w:rsidR="008B0129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DC3C5E" w:rsidRPr="002B2FE3" w:rsidRDefault="00DC3C5E" w:rsidP="00DC3C5E">
      <w:pPr>
        <w:adjustRightInd w:val="0"/>
        <w:snapToGrid w:val="0"/>
        <w:ind w:firstLineChars="200" w:firstLine="420"/>
        <w:rPr>
          <w:rFonts w:ascii="Times New Roman" w:hAnsi="Times New Roman" w:cs="Times New Roman"/>
          <w:szCs w:val="44"/>
        </w:rPr>
      </w:pPr>
    </w:p>
    <w:p w:rsidR="00DC3C5E" w:rsidRPr="00736DFA" w:rsidRDefault="00DC3C5E" w:rsidP="00DC3C5E">
      <w:pPr>
        <w:pStyle w:val="a7"/>
        <w:adjustRightInd w:val="0"/>
        <w:snapToGrid w:val="0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36DFA">
        <w:rPr>
          <w:rFonts w:ascii="Times New Roman" w:hAnsi="Times New Roman" w:cs="Times New Roman"/>
          <w:sz w:val="40"/>
          <w:szCs w:val="36"/>
        </w:rPr>
        <w:t>各品种龙头企业</w:t>
      </w:r>
      <w:r w:rsidRPr="00736DFA">
        <w:rPr>
          <w:rFonts w:ascii="Times New Roman" w:hAnsi="Times New Roman" w:cs="Times New Roman" w:hint="eastAsia"/>
          <w:sz w:val="40"/>
          <w:szCs w:val="36"/>
        </w:rPr>
        <w:t>的</w:t>
      </w:r>
      <w:r w:rsidRPr="00736DFA">
        <w:rPr>
          <w:rFonts w:ascii="Times New Roman" w:hAnsi="Times New Roman" w:cs="Times New Roman"/>
          <w:sz w:val="40"/>
          <w:szCs w:val="36"/>
        </w:rPr>
        <w:t>规模标准</w:t>
      </w:r>
    </w:p>
    <w:p w:rsidR="00DC3C5E" w:rsidRPr="002B2FE3" w:rsidRDefault="00DC3C5E" w:rsidP="00DC3C5E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tbl>
      <w:tblPr>
        <w:tblW w:w="89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008"/>
        <w:gridCol w:w="2925"/>
        <w:gridCol w:w="1814"/>
        <w:gridCol w:w="1134"/>
      </w:tblGrid>
      <w:tr w:rsidR="00DC3C5E" w:rsidRPr="002B2FE3" w:rsidTr="00DC3C5E">
        <w:trPr>
          <w:trHeight w:val="454"/>
          <w:tblHeader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B2FE3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B2FE3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B2FE3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企业规模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B2FE3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2B2FE3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占有率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玉米贸易商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30%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玉米深加工企业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≥60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80%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饲料企业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35%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80%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玉米淀粉消费企业（淀粉糖）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玉米淀粉年用量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80%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豆一压榨企业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大豆年加工量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25%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豆二压榨企业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大豆年加工量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90%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压榨企业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≥80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90%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豆粕贸易商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60%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饲料企业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豆粕年用量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40%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压榨企业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90%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FF"/>
                <w:kern w:val="0"/>
                <w:szCs w:val="21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豆油消费企业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豆油年用量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50%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棕榈油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精炼企业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棕榈油进口量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40%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纤维板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纤维板生产企业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纤维板年产量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万立方米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20%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胶合板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胶合板生产企业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胶合板年产量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30%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养殖企业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蛋鸡存栏量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≥70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万只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15%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鸡蛋消费企业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鸡蛋年用量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不足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粳米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深加工企业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粳米年加工量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20%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szCs w:val="21"/>
              </w:rPr>
              <w:t>PVC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PVC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PVC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35%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PVC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90%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48%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PE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3%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lastRenderedPageBreak/>
              <w:t>PP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PP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≥30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90%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PP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40%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PP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乙二醇产年量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≥12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89%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81%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乙二醇年用量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92%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≥8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23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83%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≥10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85%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苯乙烯年用量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≥7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23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B0F0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60%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上游生产企业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年产量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43%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贸易企业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年贸易量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≥40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80%</w:t>
            </w:r>
          </w:p>
        </w:tc>
      </w:tr>
      <w:tr w:rsidR="00DC3C5E" w:rsidRPr="002B2FE3" w:rsidTr="00DC3C5E">
        <w:trPr>
          <w:trHeight w:val="454"/>
          <w:jc w:val="center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下游加工企业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adjustRightInd w:val="0"/>
              <w:snapToGrid w:val="0"/>
              <w:ind w:leftChars="50" w:left="105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LPG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年用量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≥25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万吨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覆盖约前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</w:t>
            </w: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C5E" w:rsidRPr="002B2FE3" w:rsidRDefault="00DC3C5E" w:rsidP="00E72C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B2FE3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22%</w:t>
            </w:r>
          </w:p>
        </w:tc>
      </w:tr>
    </w:tbl>
    <w:p w:rsidR="00DC3C5E" w:rsidRPr="002B2FE3" w:rsidRDefault="00DC3C5E" w:rsidP="00DC3C5E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0576F7" w:rsidRDefault="000576F7"/>
    <w:sectPr w:rsidR="0005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5E" w:rsidRDefault="00DC3C5E" w:rsidP="00DC3C5E">
      <w:r>
        <w:separator/>
      </w:r>
    </w:p>
  </w:endnote>
  <w:endnote w:type="continuationSeparator" w:id="0">
    <w:p w:rsidR="00DC3C5E" w:rsidRDefault="00DC3C5E" w:rsidP="00DC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5E" w:rsidRDefault="00DC3C5E" w:rsidP="00DC3C5E">
      <w:r>
        <w:separator/>
      </w:r>
    </w:p>
  </w:footnote>
  <w:footnote w:type="continuationSeparator" w:id="0">
    <w:p w:rsidR="00DC3C5E" w:rsidRDefault="00DC3C5E" w:rsidP="00DC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FE"/>
    <w:rsid w:val="000576F7"/>
    <w:rsid w:val="006462CA"/>
    <w:rsid w:val="00736DFA"/>
    <w:rsid w:val="008B0129"/>
    <w:rsid w:val="00D66AFE"/>
    <w:rsid w:val="00D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C4D6D"/>
  <w15:chartTrackingRefBased/>
  <w15:docId w15:val="{5526246E-EF88-4C9C-A93F-3963ED99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C5E"/>
    <w:pPr>
      <w:keepNext/>
      <w:keepLines/>
      <w:spacing w:line="58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C5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C3C5E"/>
    <w:rPr>
      <w:rFonts w:eastAsia="黑体"/>
      <w:bCs/>
      <w:kern w:val="44"/>
      <w:sz w:val="32"/>
      <w:szCs w:val="44"/>
    </w:rPr>
  </w:style>
  <w:style w:type="paragraph" w:styleId="a7">
    <w:name w:val="Title"/>
    <w:basedOn w:val="a"/>
    <w:next w:val="a"/>
    <w:link w:val="a8"/>
    <w:uiPriority w:val="10"/>
    <w:qFormat/>
    <w:rsid w:val="00DC3C5E"/>
    <w:pPr>
      <w:spacing w:line="580" w:lineRule="exact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sid w:val="00DC3C5E"/>
    <w:rPr>
      <w:rFonts w:asciiTheme="majorHAnsi" w:eastAsia="宋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左岳</dc:creator>
  <cp:keywords/>
  <dc:description/>
  <cp:lastModifiedBy>左岳</cp:lastModifiedBy>
  <cp:revision>4</cp:revision>
  <dcterms:created xsi:type="dcterms:W3CDTF">2022-02-10T10:56:00Z</dcterms:created>
  <dcterms:modified xsi:type="dcterms:W3CDTF">2022-02-11T00:58:00Z</dcterms:modified>
</cp:coreProperties>
</file>