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A25" w:rsidRPr="00D23A25" w:rsidRDefault="00D23A25" w:rsidP="00D23A25">
      <w:pPr>
        <w:jc w:val="left"/>
        <w:rPr>
          <w:rFonts w:ascii="黑体" w:eastAsia="黑体" w:hAnsi="黑体"/>
          <w:bCs/>
          <w:sz w:val="32"/>
          <w:szCs w:val="44"/>
        </w:rPr>
      </w:pPr>
      <w:r w:rsidRPr="00D23A25">
        <w:rPr>
          <w:rFonts w:ascii="黑体" w:eastAsia="黑体" w:hAnsi="黑体" w:hint="eastAsia"/>
          <w:bCs/>
          <w:sz w:val="32"/>
          <w:szCs w:val="44"/>
        </w:rPr>
        <w:t>附件1</w:t>
      </w:r>
    </w:p>
    <w:p w:rsidR="00D23A25" w:rsidRDefault="00D23A25" w:rsidP="00D23A25">
      <w:pPr>
        <w:jc w:val="center"/>
        <w:rPr>
          <w:rFonts w:ascii="宋体" w:eastAsia="宋体" w:hAnsi="宋体"/>
          <w:b/>
          <w:bCs/>
          <w:sz w:val="44"/>
          <w:szCs w:val="44"/>
        </w:rPr>
      </w:pPr>
      <w:r>
        <w:rPr>
          <w:rFonts w:ascii="宋体" w:eastAsia="宋体" w:hAnsi="宋体" w:hint="eastAsia"/>
          <w:b/>
          <w:bCs/>
          <w:sz w:val="44"/>
          <w:szCs w:val="44"/>
        </w:rPr>
        <w:t>《大连商品交易所场外期权业务管理办法（试行）》</w:t>
      </w:r>
    </w:p>
    <w:p w:rsidR="00D23A25" w:rsidRDefault="00D23A25" w:rsidP="00D23A25">
      <w:pPr>
        <w:rPr>
          <w:lang w:val="zh-CN"/>
        </w:rPr>
      </w:pPr>
    </w:p>
    <w:p w:rsidR="00D23A25" w:rsidRDefault="00D23A25" w:rsidP="00D23A25">
      <w:pPr>
        <w:pStyle w:val="ab"/>
        <w:numPr>
          <w:ilvl w:val="0"/>
          <w:numId w:val="1"/>
        </w:numPr>
        <w:spacing w:before="0" w:beforeAutospacing="0" w:after="0" w:afterAutospacing="0" w:line="580" w:lineRule="exact"/>
        <w:jc w:val="center"/>
        <w:rPr>
          <w:rFonts w:ascii="黑体" w:eastAsia="黑体" w:hAnsi="黑体"/>
          <w:bCs/>
          <w:sz w:val="32"/>
          <w:szCs w:val="32"/>
        </w:rPr>
      </w:pPr>
      <w:r>
        <w:rPr>
          <w:rFonts w:ascii="黑体" w:eastAsia="黑体" w:hAnsi="黑体" w:hint="eastAsia"/>
          <w:bCs/>
          <w:sz w:val="32"/>
          <w:szCs w:val="32"/>
        </w:rPr>
        <w:t>总则</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bookmarkStart w:id="0" w:name="_Hlk5785856"/>
      <w:r>
        <w:rPr>
          <w:rFonts w:ascii="仿宋_GB2312" w:eastAsia="仿宋_GB2312" w:hAnsi="仿宋" w:hint="eastAsia"/>
          <w:sz w:val="32"/>
          <w:szCs w:val="32"/>
        </w:rPr>
        <w:t>为规范大连商品交易所（以下简称交易所）场外期权业务活动，保障参与主体的合法权益，特制定本办法。</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本办法所称场外期权业务，是指买卖双方在交易所综合服务平台（以下简称平台）开展的，规定买方有权按照约定条件向卖方购买或出售约定标的物的交易活动。</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交易所、参与主体在平台开展场外期权业务，应当遵守本办法。</w:t>
      </w:r>
    </w:p>
    <w:p w:rsidR="00D23A25" w:rsidRDefault="00D23A25" w:rsidP="00D23A25">
      <w:pPr>
        <w:pStyle w:val="ab"/>
        <w:numPr>
          <w:ilvl w:val="0"/>
          <w:numId w:val="1"/>
        </w:numPr>
        <w:spacing w:before="0" w:beforeAutospacing="0" w:after="0" w:afterAutospacing="0" w:line="580" w:lineRule="exact"/>
        <w:jc w:val="center"/>
        <w:rPr>
          <w:rFonts w:ascii="黑体" w:eastAsia="黑体" w:hAnsi="黑体"/>
          <w:bCs/>
          <w:sz w:val="32"/>
          <w:szCs w:val="32"/>
        </w:rPr>
      </w:pPr>
      <w:r>
        <w:rPr>
          <w:rFonts w:ascii="黑体" w:eastAsia="黑体" w:hAnsi="黑体" w:hint="eastAsia"/>
          <w:bCs/>
          <w:sz w:val="32"/>
          <w:szCs w:val="32"/>
        </w:rPr>
        <w:t>参与主体</w:t>
      </w:r>
    </w:p>
    <w:bookmarkEnd w:id="0"/>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场外期权业务的参与主体包括场外衍生品交易商与客户。</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衍生品交易商（以下简称交易商），是指经交易所批准，为场外衍生品业务提供报价等服务，并作为客户的交易对手方的法人。交易商在平台开展场外期权业务应当严格遵守国家有关法规、行政法规和规章，满足相关监管要求和条件，履行反洗钱相关义务。</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交易商的资格管理、监督管理根据《大连商品交易所场外衍生品交易商管理办法</w:t>
      </w:r>
      <w:r w:rsidR="00917ADE">
        <w:rPr>
          <w:rFonts w:ascii="仿宋_GB2312" w:eastAsia="仿宋_GB2312" w:hAnsi="仿宋" w:hint="eastAsia"/>
          <w:sz w:val="32"/>
          <w:szCs w:val="32"/>
        </w:rPr>
        <w:t>（试行）</w:t>
      </w:r>
      <w:r>
        <w:rPr>
          <w:rFonts w:ascii="仿宋_GB2312" w:eastAsia="仿宋_GB2312" w:hAnsi="仿宋" w:hint="eastAsia"/>
          <w:sz w:val="32"/>
          <w:szCs w:val="32"/>
        </w:rPr>
        <w:t>》的相关规定进行。</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lastRenderedPageBreak/>
        <w:t>开展场外期权业务的客户应当是法人。客户申请开展场外期权业务应当向交易所提交以下书面材料：</w:t>
      </w:r>
    </w:p>
    <w:p w:rsidR="00D23A25" w:rsidRDefault="00D23A25" w:rsidP="00D23A25">
      <w:pPr>
        <w:pStyle w:val="1"/>
        <w:spacing w:line="580" w:lineRule="exact"/>
        <w:ind w:firstLineChars="221" w:firstLine="707"/>
        <w:rPr>
          <w:rFonts w:eastAsia="仿宋_GB2312"/>
          <w:sz w:val="32"/>
          <w:szCs w:val="32"/>
        </w:rPr>
      </w:pPr>
      <w:r>
        <w:rPr>
          <w:rFonts w:eastAsia="仿宋_GB2312" w:hint="eastAsia"/>
          <w:sz w:val="32"/>
          <w:szCs w:val="32"/>
        </w:rPr>
        <w:t>（一）营业执照复印件；</w:t>
      </w:r>
    </w:p>
    <w:p w:rsidR="00D23A25" w:rsidRDefault="00D23A25" w:rsidP="00D23A25">
      <w:pPr>
        <w:pStyle w:val="1"/>
        <w:spacing w:line="580" w:lineRule="exact"/>
        <w:ind w:firstLineChars="221" w:firstLine="707"/>
        <w:rPr>
          <w:rFonts w:eastAsia="仿宋_GB2312"/>
          <w:sz w:val="32"/>
          <w:szCs w:val="32"/>
        </w:rPr>
      </w:pPr>
      <w:r>
        <w:rPr>
          <w:rFonts w:eastAsia="仿宋_GB2312" w:hint="eastAsia"/>
          <w:sz w:val="32"/>
          <w:szCs w:val="32"/>
        </w:rPr>
        <w:t>（二）客户与交易商签署的相关场外衍生品交易主协议及补充协议复印件；</w:t>
      </w:r>
    </w:p>
    <w:p w:rsidR="00D23A25" w:rsidRDefault="00D23A25" w:rsidP="00D23A25">
      <w:pPr>
        <w:pStyle w:val="1"/>
        <w:spacing w:line="580" w:lineRule="exact"/>
        <w:ind w:firstLineChars="221" w:firstLine="707"/>
        <w:rPr>
          <w:rFonts w:eastAsia="仿宋_GB2312"/>
          <w:sz w:val="32"/>
          <w:szCs w:val="32"/>
        </w:rPr>
      </w:pPr>
      <w:r>
        <w:rPr>
          <w:rFonts w:eastAsia="仿宋_GB2312" w:hint="eastAsia"/>
          <w:sz w:val="32"/>
          <w:szCs w:val="32"/>
        </w:rPr>
        <w:t>（三）综合服务平台用户开户申请表；</w:t>
      </w:r>
    </w:p>
    <w:p w:rsidR="00D23A25" w:rsidRDefault="00D23A25" w:rsidP="00D23A25">
      <w:pPr>
        <w:pStyle w:val="1"/>
        <w:spacing w:line="580" w:lineRule="exact"/>
        <w:ind w:firstLineChars="221" w:firstLine="707"/>
        <w:rPr>
          <w:rFonts w:eastAsia="仿宋_GB2312"/>
          <w:sz w:val="32"/>
          <w:szCs w:val="32"/>
        </w:rPr>
      </w:pPr>
      <w:r>
        <w:rPr>
          <w:rFonts w:eastAsia="仿宋_GB2312" w:hint="eastAsia"/>
          <w:sz w:val="32"/>
          <w:szCs w:val="32"/>
        </w:rPr>
        <w:t>（四）交易所要求的其他材料。</w:t>
      </w:r>
    </w:p>
    <w:p w:rsidR="00D23A25" w:rsidRDefault="00D23A25" w:rsidP="00D23A25">
      <w:pPr>
        <w:pStyle w:val="1"/>
        <w:spacing w:line="580" w:lineRule="exact"/>
        <w:ind w:firstLineChars="221" w:firstLine="707"/>
        <w:rPr>
          <w:rFonts w:eastAsia="仿宋_GB2312"/>
          <w:sz w:val="32"/>
          <w:szCs w:val="32"/>
        </w:rPr>
      </w:pPr>
      <w:bookmarkStart w:id="1" w:name="OLE_LINK1"/>
      <w:r>
        <w:rPr>
          <w:rFonts w:eastAsia="仿宋_GB2312" w:hint="eastAsia"/>
          <w:sz w:val="32"/>
          <w:szCs w:val="32"/>
        </w:rPr>
        <w:t>以上材料均须加盖申请主体公章</w:t>
      </w:r>
      <w:bookmarkEnd w:id="1"/>
      <w:r>
        <w:rPr>
          <w:rFonts w:eastAsia="仿宋_GB2312" w:hint="eastAsia"/>
          <w:sz w:val="32"/>
          <w:szCs w:val="32"/>
        </w:rPr>
        <w:t>。客户应当保证提交的材料真实、准确、完整。</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客户提交的申请材料经审核通过后，应当与交易所签署</w:t>
      </w:r>
      <w:r w:rsidR="00BF0713">
        <w:rPr>
          <w:rFonts w:ascii="仿宋_GB2312" w:eastAsia="仿宋_GB2312" w:hAnsi="仿宋" w:hint="eastAsia"/>
          <w:sz w:val="32"/>
          <w:szCs w:val="32"/>
        </w:rPr>
        <w:t>相关</w:t>
      </w:r>
      <w:r>
        <w:rPr>
          <w:rFonts w:ascii="仿宋_GB2312" w:eastAsia="仿宋_GB2312" w:hAnsi="仿宋" w:hint="eastAsia"/>
          <w:sz w:val="32"/>
          <w:szCs w:val="32"/>
        </w:rPr>
        <w:t>协议，明确双方的权利和义务。</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客户存在下列情形之一的，交易所有权取消其资格并向市场公告：</w:t>
      </w:r>
    </w:p>
    <w:p w:rsidR="00D23A25" w:rsidRDefault="00D23A25" w:rsidP="00D23A25">
      <w:pPr>
        <w:pStyle w:val="1"/>
        <w:numPr>
          <w:ilvl w:val="0"/>
          <w:numId w:val="3"/>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两个自然年度内未在平台开展场外期权业务；</w:t>
      </w:r>
    </w:p>
    <w:p w:rsidR="00D23A25" w:rsidRDefault="00D23A25" w:rsidP="00D23A25">
      <w:pPr>
        <w:pStyle w:val="1"/>
        <w:numPr>
          <w:ilvl w:val="0"/>
          <w:numId w:val="3"/>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存在重大违法违规行为；</w:t>
      </w:r>
    </w:p>
    <w:p w:rsidR="00D23A25" w:rsidRDefault="00D23A25" w:rsidP="00D23A25">
      <w:pPr>
        <w:pStyle w:val="1"/>
        <w:numPr>
          <w:ilvl w:val="0"/>
          <w:numId w:val="3"/>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依法被收购、兼并、撤销、解散或者宣告破产；</w:t>
      </w:r>
    </w:p>
    <w:p w:rsidR="00D23A25" w:rsidRDefault="00D23A25" w:rsidP="00D23A25">
      <w:pPr>
        <w:pStyle w:val="1"/>
        <w:numPr>
          <w:ilvl w:val="0"/>
          <w:numId w:val="3"/>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向交易所提交虚假材料；</w:t>
      </w:r>
    </w:p>
    <w:p w:rsidR="00D23A25" w:rsidRDefault="00D23A25" w:rsidP="00D23A25">
      <w:pPr>
        <w:pStyle w:val="1"/>
        <w:numPr>
          <w:ilvl w:val="0"/>
          <w:numId w:val="3"/>
        </w:numPr>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交易所认定或者协议约定的其他情形。</w:t>
      </w:r>
    </w:p>
    <w:p w:rsidR="00D23A25" w:rsidRDefault="00D23A25" w:rsidP="00D23A25">
      <w:pPr>
        <w:pStyle w:val="ab"/>
        <w:numPr>
          <w:ilvl w:val="0"/>
          <w:numId w:val="1"/>
        </w:numPr>
        <w:spacing w:before="0" w:beforeAutospacing="0" w:after="0" w:afterAutospacing="0" w:line="580" w:lineRule="exact"/>
        <w:jc w:val="center"/>
        <w:rPr>
          <w:rFonts w:ascii="黑体" w:eastAsia="黑体" w:hAnsi="黑体"/>
          <w:bCs/>
          <w:sz w:val="32"/>
          <w:szCs w:val="32"/>
        </w:rPr>
      </w:pPr>
      <w:r>
        <w:rPr>
          <w:rFonts w:ascii="黑体" w:eastAsia="黑体" w:hAnsi="黑体" w:hint="eastAsia"/>
          <w:bCs/>
          <w:sz w:val="32"/>
          <w:szCs w:val="32"/>
        </w:rPr>
        <w:t>交易业务</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场外期权业务采用双边交易方式。客户只能和与其签署场外衍生品交易主协议及附属协议的交易商开展场外期权业务。</w:t>
      </w:r>
    </w:p>
    <w:p w:rsidR="00D23A25" w:rsidRPr="00210E35" w:rsidRDefault="00D23A25" w:rsidP="00C20428">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sidRPr="00210E35">
        <w:rPr>
          <w:rFonts w:ascii="仿宋_GB2312" w:eastAsia="仿宋_GB2312" w:hAnsi="仿宋" w:hint="eastAsia"/>
          <w:sz w:val="32"/>
          <w:szCs w:val="32"/>
        </w:rPr>
        <w:lastRenderedPageBreak/>
        <w:t>场外期权业务实行交易编码制度，交易编码是指交易所分配给交易商和客户进行场外期权业务的专用代码。客户交易编码是由交易商编号和客户编号两部分组成。交易商交易编码与客户交易编码位数相同。</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与客户开展场外期权业务前，应分别在平台开立交易账户，在存管银行开立或指定资金账户。开户成功后平台为交易商与客户生成交易编码。交易账户及密码是平台识别交易商与客户身份的依据。交易商与客户应当妥善保管其交易账户及密码，对以交易账户登录信息、交易编码进行的操作、发出的指令和产生的交易结果承担法律责任，不得将其转让或转借他人使用。</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场外期权业务交易时间为每个期货交易日的9:00-15:00。</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交易商可在平台创设场外期权合约（以下简称合约）。合约内容包括标的物、合约类型、报价单位、到期日、行权价格、行权方式等主要条款以及补充条款。</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（一）本办法所称的标的物为商品期货合约或商品指数。</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（二）合约类型包括看涨期权和看跌期权。</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看涨期权是指买方有权在将来某一时间以特定价格买入标的物，而卖方需要履行相应义务的合约。</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看跌期权是指买方有权在将来某一时间以特定价格卖出标的物，而卖方需要履行相应义务的合约。</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lastRenderedPageBreak/>
        <w:t>（三）报价单位与标的物报价单位一致。</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（四）到期日是指合约买方能够行使权利的最后一个期货交易日。</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（五）行权价格是指由期权合约规定的，买方有权在将来某一时间买入或卖出标的物的价格。</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（六）行权方式分为欧式、美式以及交易所规定的其他方式。</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欧式期权的买方只可在合约到期日当日行使权利。</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美式期权的买方在合约到期日及其之前任</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交易日均可行使权利。</w:t>
      </w:r>
    </w:p>
    <w:p w:rsidR="00D23A25" w:rsidRDefault="00D23A25" w:rsidP="00D23A25">
      <w:pPr>
        <w:pStyle w:val="1"/>
        <w:numPr>
          <w:ilvl w:val="255"/>
          <w:numId w:val="0"/>
        </w:numPr>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（七）补充条款由交易商自行填写，用以约定主要条款未约定事项。</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创设合约的方式包括模板创设和自定义创设。</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模板创设，是指交易</w:t>
      </w:r>
      <w:proofErr w:type="gramStart"/>
      <w:r>
        <w:rPr>
          <w:rFonts w:ascii="仿宋_GB2312" w:eastAsia="仿宋_GB2312" w:hAnsi="仿宋" w:hint="eastAsia"/>
          <w:sz w:val="32"/>
          <w:szCs w:val="32"/>
        </w:rPr>
        <w:t>商按照</w:t>
      </w:r>
      <w:proofErr w:type="gramEnd"/>
      <w:r>
        <w:rPr>
          <w:rFonts w:ascii="仿宋_GB2312" w:eastAsia="仿宋_GB2312" w:hAnsi="仿宋" w:hint="eastAsia"/>
          <w:sz w:val="32"/>
          <w:szCs w:val="32"/>
        </w:rPr>
        <w:t>交易所提供的合约模板创设合约的方式。</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自定义创设，是指交易商不完全按照交易所提供的合约模板，自行定义合约条款创设合约的方式。</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交易商完成合约创设后，向客户发起确认，客户确认结果为同意，则视为双方就该笔场外期权业务在平台完成交易确认。</w:t>
      </w:r>
      <w:r>
        <w:rPr>
          <w:rFonts w:ascii="仿宋_GB2312" w:eastAsia="仿宋_GB2312" w:hAnsi="仿宋"/>
          <w:sz w:val="32"/>
          <w:szCs w:val="32"/>
        </w:rPr>
        <w:t>平台形成交易确认书，并向交易双方发送成交确认信息。</w:t>
      </w:r>
    </w:p>
    <w:p w:rsidR="00D23A25" w:rsidRDefault="00D23A25" w:rsidP="00D23A25">
      <w:pPr>
        <w:pStyle w:val="ab"/>
        <w:numPr>
          <w:ilvl w:val="0"/>
          <w:numId w:val="1"/>
        </w:numPr>
        <w:spacing w:before="0" w:beforeAutospacing="0" w:after="0" w:afterAutospacing="0" w:line="580" w:lineRule="exact"/>
        <w:jc w:val="center"/>
        <w:rPr>
          <w:rFonts w:ascii="黑体" w:eastAsia="黑体" w:hAnsi="黑体"/>
          <w:bCs/>
          <w:sz w:val="32"/>
          <w:szCs w:val="32"/>
        </w:rPr>
      </w:pPr>
      <w:r>
        <w:rPr>
          <w:rFonts w:ascii="黑体" w:eastAsia="黑体" w:hAnsi="黑体" w:hint="eastAsia"/>
          <w:bCs/>
          <w:sz w:val="32"/>
          <w:szCs w:val="32"/>
        </w:rPr>
        <w:t>结算业务</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bookmarkStart w:id="2" w:name="OLE_LINK4"/>
      <w:r>
        <w:rPr>
          <w:rFonts w:ascii="仿宋_GB2312" w:eastAsia="仿宋_GB2312" w:hAnsi="仿宋" w:hint="eastAsia"/>
          <w:sz w:val="32"/>
          <w:szCs w:val="32"/>
        </w:rPr>
        <w:lastRenderedPageBreak/>
        <w:t>场外期权业务采用现金净额结算方式。交易双方自行承担履约责任。</w:t>
      </w:r>
    </w:p>
    <w:bookmarkEnd w:id="2"/>
    <w:p w:rsidR="00D23A25" w:rsidRDefault="00D23A25" w:rsidP="00D23A25">
      <w:pPr>
        <w:pStyle w:val="1"/>
        <w:numPr>
          <w:ilvl w:val="0"/>
          <w:numId w:val="2"/>
        </w:numPr>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场外期权业务实行保证金制度。货币资金、信用额度可以作为保证金，用于场外期权业务的履约担保。交易所为每个交易编码设立单独的结算账户存放和记录货币资金及信用额度。</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双方可在合约中约定保证金数额。完成交易确认后，交易所收取保证金。结算账户中的货币资金及信用额度不足以覆盖保证金数额的，交易无法达成。</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双方可在合约中约定支付权利金的方式，包括期初支付、延期支付。</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期初支付，指买方在交易确认时向卖方支付权利金的方式。合约交易时，交易所校验买方货币资金，不足以覆盖权利金的，交易无法达成。完成交易确认后，交易所即时划转权利金给卖方。</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延期支付，指买方在交易确认后至交易了结时支付权利金的方式。由买方发起支付申请，申请当日结算后，交易所将权利金划转给卖方。交易了结方式包括平仓、行权和放弃。</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买方未在规定时间内发起支付申请，权利金将与平仓盈亏或行权盈亏合并计算，轧差支付。</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交易商在到期日及其之前任一交易日，可根据双方约定发起平仓申请并录入平仓盈亏，客户确认平仓申请</w:t>
      </w:r>
      <w:r>
        <w:rPr>
          <w:rFonts w:ascii="仿宋_GB2312" w:eastAsia="仿宋_GB2312" w:hAnsi="仿宋" w:hint="eastAsia"/>
          <w:sz w:val="32"/>
          <w:szCs w:val="32"/>
        </w:rPr>
        <w:lastRenderedPageBreak/>
        <w:t>的当日结算后，交易所划转平仓盈亏。</w:t>
      </w:r>
    </w:p>
    <w:p w:rsidR="00D23A25" w:rsidRDefault="00D23A25" w:rsidP="00D23A25">
      <w:pPr>
        <w:pStyle w:val="1"/>
        <w:numPr>
          <w:ilvl w:val="255"/>
          <w:numId w:val="0"/>
        </w:numPr>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客户未对平仓申请进行确认的，视为双方未就平仓达成一致，交易所不作处理。</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对于模板创设的美式期权合约，买方在合约到期日及其之前任</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交易日均可提出行权申请，申请当日结算后，交易所计算行权盈亏，并于申请当日后第N</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交易日结算后划</w:t>
      </w:r>
      <w:proofErr w:type="gramStart"/>
      <w:r>
        <w:rPr>
          <w:rFonts w:ascii="仿宋_GB2312" w:eastAsia="仿宋_GB2312" w:hAnsi="仿宋" w:hint="eastAsia"/>
          <w:sz w:val="32"/>
          <w:szCs w:val="32"/>
        </w:rPr>
        <w:t>转行权盈亏</w:t>
      </w:r>
      <w:proofErr w:type="gramEnd"/>
      <w:r>
        <w:rPr>
          <w:rFonts w:ascii="仿宋_GB2312" w:eastAsia="仿宋_GB2312" w:hAnsi="仿宋" w:hint="eastAsia"/>
          <w:sz w:val="32"/>
          <w:szCs w:val="32"/>
        </w:rPr>
        <w:t>，行权盈亏划转后，清退双方保证金，</w:t>
      </w:r>
      <w:r>
        <w:rPr>
          <w:rFonts w:ascii="仿宋_GB2312" w:eastAsia="仿宋_GB2312" w:hAnsi="仿宋"/>
          <w:sz w:val="32"/>
          <w:szCs w:val="32"/>
        </w:rPr>
        <w:t>N</w:t>
      </w:r>
      <w:r>
        <w:rPr>
          <w:rFonts w:ascii="仿宋_GB2312" w:eastAsia="仿宋_GB2312" w:hAnsi="仿宋" w:hint="eastAsia"/>
          <w:sz w:val="32"/>
          <w:szCs w:val="32"/>
        </w:rPr>
        <w:t>由双方在合约中规定。</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对于模板创设的欧式期权合约及未行权的美式期权合约，在合约到期日闭市后，交易所进行以下处理：</w:t>
      </w:r>
    </w:p>
    <w:p w:rsidR="00D23A25" w:rsidRDefault="00D23A25" w:rsidP="00D23A25">
      <w:pPr>
        <w:pStyle w:val="1"/>
        <w:tabs>
          <w:tab w:val="left" w:pos="1620"/>
          <w:tab w:val="left" w:pos="1800"/>
        </w:tabs>
        <w:spacing w:line="580" w:lineRule="exact"/>
        <w:ind w:firstLine="640"/>
        <w:rPr>
          <w:rFonts w:ascii="仿宋_GB2312" w:eastAsia="仿宋_GB2312" w:hAnsi="仿宋"/>
          <w:sz w:val="32"/>
          <w:szCs w:val="32"/>
        </w:rPr>
      </w:pPr>
      <w:r>
        <w:rPr>
          <w:rFonts w:ascii="仿宋_GB2312" w:eastAsia="仿宋_GB2312" w:hAnsi="仿宋" w:hint="eastAsia"/>
          <w:sz w:val="32"/>
          <w:szCs w:val="32"/>
        </w:rPr>
        <w:t>（一）行权价格小于当日标的物结算价的看涨期权自动申请行权；</w:t>
      </w:r>
    </w:p>
    <w:p w:rsidR="00D23A25" w:rsidRDefault="00D23A25" w:rsidP="00D23A25">
      <w:pPr>
        <w:pStyle w:val="1"/>
        <w:tabs>
          <w:tab w:val="left" w:pos="1620"/>
          <w:tab w:val="left" w:pos="1800"/>
        </w:tabs>
        <w:spacing w:line="580" w:lineRule="exact"/>
        <w:ind w:firstLine="640"/>
        <w:rPr>
          <w:rFonts w:ascii="仿宋_GB2312" w:eastAsia="仿宋_GB2312" w:hAnsi="仿宋"/>
          <w:sz w:val="32"/>
          <w:szCs w:val="32"/>
        </w:rPr>
      </w:pPr>
      <w:r>
        <w:rPr>
          <w:rFonts w:ascii="仿宋_GB2312" w:eastAsia="仿宋_GB2312" w:hAnsi="仿宋" w:hint="eastAsia"/>
          <w:sz w:val="32"/>
          <w:szCs w:val="32"/>
        </w:rPr>
        <w:t>（二）行权价格大于当日标的物结算价的看跌期权持仓自动申请行权。</w:t>
      </w:r>
    </w:p>
    <w:p w:rsidR="00D23A25" w:rsidRDefault="00D23A25" w:rsidP="00D23A25">
      <w:pPr>
        <w:pStyle w:val="1"/>
        <w:tabs>
          <w:tab w:val="left" w:pos="1620"/>
          <w:tab w:val="left" w:pos="1800"/>
        </w:tabs>
        <w:spacing w:line="580" w:lineRule="exact"/>
        <w:ind w:firstLine="640"/>
        <w:rPr>
          <w:rFonts w:ascii="仿宋_GB2312" w:eastAsia="仿宋_GB2312" w:hAnsi="仿宋"/>
          <w:sz w:val="32"/>
          <w:szCs w:val="32"/>
        </w:rPr>
      </w:pPr>
      <w:r>
        <w:rPr>
          <w:rFonts w:ascii="仿宋_GB2312" w:eastAsia="仿宋_GB2312" w:hAnsi="仿宋" w:hint="eastAsia"/>
          <w:sz w:val="32"/>
          <w:szCs w:val="32"/>
        </w:rPr>
        <w:t>到期日结算后，交易所计算行权盈亏，并于到期日后第N</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交易日结算后划</w:t>
      </w:r>
      <w:proofErr w:type="gramStart"/>
      <w:r>
        <w:rPr>
          <w:rFonts w:ascii="仿宋_GB2312" w:eastAsia="仿宋_GB2312" w:hAnsi="仿宋" w:hint="eastAsia"/>
          <w:sz w:val="32"/>
          <w:szCs w:val="32"/>
        </w:rPr>
        <w:t>转行权盈亏</w:t>
      </w:r>
      <w:proofErr w:type="gramEnd"/>
      <w:r>
        <w:rPr>
          <w:rFonts w:ascii="仿宋_GB2312" w:eastAsia="仿宋_GB2312" w:hAnsi="仿宋" w:hint="eastAsia"/>
          <w:sz w:val="32"/>
          <w:szCs w:val="32"/>
        </w:rPr>
        <w:t>，行权盈亏划转后，清退双方保证金。N由双方在合约中规定。</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对于自定义创设的合约，买方可在合约约定的时间内提出行权申请并录入行权盈亏，卖方确认行权申请的当日结算后，交易所划</w:t>
      </w:r>
      <w:proofErr w:type="gramStart"/>
      <w:r>
        <w:rPr>
          <w:rFonts w:ascii="仿宋_GB2312" w:eastAsia="仿宋_GB2312" w:hAnsi="仿宋" w:hint="eastAsia"/>
          <w:sz w:val="32"/>
          <w:szCs w:val="32"/>
        </w:rPr>
        <w:t>转行权盈亏</w:t>
      </w:r>
      <w:proofErr w:type="gramEnd"/>
      <w:r>
        <w:rPr>
          <w:rFonts w:ascii="仿宋_GB2312" w:eastAsia="仿宋_GB2312" w:hAnsi="仿宋" w:hint="eastAsia"/>
          <w:sz w:val="32"/>
          <w:szCs w:val="32"/>
        </w:rPr>
        <w:t>，行权盈亏划转后，清退双方保证金。</w:t>
      </w:r>
    </w:p>
    <w:p w:rsidR="00D23A25" w:rsidRDefault="00D23A25" w:rsidP="00D23A25">
      <w:pPr>
        <w:pStyle w:val="1"/>
        <w:tabs>
          <w:tab w:val="left" w:pos="1620"/>
          <w:tab w:val="left" w:pos="1800"/>
        </w:tabs>
        <w:spacing w:line="580" w:lineRule="exact"/>
        <w:ind w:firstLine="640"/>
        <w:rPr>
          <w:rFonts w:ascii="仿宋_GB2312" w:eastAsia="仿宋_GB2312" w:hAnsi="仿宋"/>
          <w:sz w:val="32"/>
          <w:szCs w:val="32"/>
        </w:rPr>
      </w:pPr>
      <w:r>
        <w:rPr>
          <w:rFonts w:ascii="仿宋_GB2312" w:eastAsia="仿宋_GB2312" w:hAnsi="仿宋" w:hint="eastAsia"/>
          <w:sz w:val="32"/>
          <w:szCs w:val="32"/>
        </w:rPr>
        <w:t>买方未在合约约定时间内提出行权申请的，视为放弃行权。</w:t>
      </w:r>
      <w:r>
        <w:rPr>
          <w:rFonts w:ascii="仿宋_GB2312" w:eastAsia="仿宋_GB2312" w:hAnsi="仿宋" w:hint="eastAsia"/>
          <w:sz w:val="32"/>
          <w:szCs w:val="32"/>
        </w:rPr>
        <w:lastRenderedPageBreak/>
        <w:t>买方在合约约定时间内提出行权申请的，卖方应当不晚于到期日之后第N</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交易日闭市前完成行权申请确认，</w:t>
      </w:r>
      <w:r>
        <w:rPr>
          <w:rFonts w:ascii="仿宋_GB2312" w:eastAsia="仿宋_GB2312" w:hAnsi="仿宋"/>
          <w:sz w:val="32"/>
          <w:szCs w:val="32"/>
        </w:rPr>
        <w:t>N</w:t>
      </w:r>
      <w:r>
        <w:rPr>
          <w:rFonts w:ascii="仿宋_GB2312" w:eastAsia="仿宋_GB2312" w:hAnsi="仿宋" w:hint="eastAsia"/>
          <w:sz w:val="32"/>
          <w:szCs w:val="32"/>
        </w:rPr>
        <w:t>由双方在合约中规定。</w:t>
      </w:r>
    </w:p>
    <w:p w:rsidR="00D23A25" w:rsidRDefault="00D23A25" w:rsidP="00D23A25">
      <w:pPr>
        <w:pStyle w:val="1"/>
        <w:numPr>
          <w:ilvl w:val="0"/>
          <w:numId w:val="2"/>
        </w:numPr>
        <w:tabs>
          <w:tab w:val="left" w:pos="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发生如下情形之一的，视为异常情形，交易所有权采取限制交易权限、限制出金等措施，并根据双方协议或有权机关、仲裁机构的生效法律文件对双方货币资金进行划转。</w:t>
      </w:r>
    </w:p>
    <w:p w:rsidR="00D23A25" w:rsidRDefault="00D23A25" w:rsidP="00D23A25">
      <w:pPr>
        <w:pStyle w:val="1"/>
        <w:numPr>
          <w:ilvl w:val="0"/>
          <w:numId w:val="4"/>
        </w:numPr>
        <w:tabs>
          <w:tab w:val="left" w:pos="640"/>
        </w:tabs>
        <w:spacing w:line="580" w:lineRule="exact"/>
        <w:ind w:left="0" w:firstLineChars="0" w:firstLine="567"/>
        <w:rPr>
          <w:rFonts w:ascii="仿宋_GB2312" w:eastAsia="仿宋_GB2312" w:hAnsi="仿宋"/>
          <w:sz w:val="32"/>
          <w:szCs w:val="32"/>
        </w:rPr>
      </w:pPr>
      <w:r>
        <w:rPr>
          <w:rFonts w:ascii="仿宋_GB2312" w:eastAsia="仿宋_GB2312" w:hAnsi="仿宋" w:hint="eastAsia"/>
          <w:sz w:val="32"/>
          <w:szCs w:val="32"/>
        </w:rPr>
        <w:t>账户货币资金不足，导致无法按照双方约定支付权利金、平仓盈亏、行权盈亏的；</w:t>
      </w:r>
    </w:p>
    <w:p w:rsidR="00D23A25" w:rsidRDefault="00D23A25" w:rsidP="00D23A25">
      <w:pPr>
        <w:pStyle w:val="1"/>
        <w:numPr>
          <w:ilvl w:val="0"/>
          <w:numId w:val="4"/>
        </w:numPr>
        <w:tabs>
          <w:tab w:val="left" w:pos="640"/>
        </w:tabs>
        <w:spacing w:line="580" w:lineRule="exact"/>
        <w:ind w:left="0" w:firstLineChars="0" w:firstLine="567"/>
        <w:rPr>
          <w:rFonts w:ascii="仿宋_GB2312" w:eastAsia="仿宋_GB2312" w:hAnsi="仿宋"/>
          <w:sz w:val="32"/>
          <w:szCs w:val="32"/>
        </w:rPr>
      </w:pPr>
      <w:r>
        <w:rPr>
          <w:rFonts w:ascii="仿宋_GB2312" w:eastAsia="仿宋_GB2312" w:hAnsi="仿宋" w:hint="eastAsia"/>
          <w:sz w:val="32"/>
          <w:szCs w:val="32"/>
        </w:rPr>
        <w:t>对于自定义创设合约，买方提出行权申请，卖方未在规定时间内完成确认的。</w:t>
      </w:r>
    </w:p>
    <w:p w:rsidR="00D23A25" w:rsidRDefault="00D23A25" w:rsidP="00D23A25">
      <w:pPr>
        <w:pStyle w:val="ab"/>
        <w:numPr>
          <w:ilvl w:val="0"/>
          <w:numId w:val="1"/>
        </w:numPr>
        <w:spacing w:before="0" w:beforeAutospacing="0" w:after="0" w:afterAutospacing="0" w:line="580" w:lineRule="exact"/>
        <w:jc w:val="center"/>
        <w:rPr>
          <w:rFonts w:ascii="黑体" w:eastAsia="黑体" w:hAnsi="黑体"/>
          <w:bCs/>
          <w:sz w:val="32"/>
          <w:szCs w:val="32"/>
        </w:rPr>
      </w:pPr>
      <w:r>
        <w:rPr>
          <w:rFonts w:ascii="黑体" w:eastAsia="黑体" w:hAnsi="黑体"/>
          <w:bCs/>
          <w:sz w:val="32"/>
          <w:szCs w:val="32"/>
        </w:rPr>
        <w:t>信息管理</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交易所可以于每个交易日发布交易行情，包括但不限于品种、交易标的、合约类型、交易数量、到期日、行权价格、行权方式、权利金等。</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因在平台进行交易而产生的一切数据、信息归交易所所有。未经交易所许可，任何自然人、法人或其他组织不得将之用于商业用途。</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交易所可授权相关主体转发原始交易行情，或对原始交易行情进行加工后发布。</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场外期权业务各参与主体不得非法获取、使用平台及他人商业信息及秘密，对于参与相关业务过程中获得的商业信息及秘密，应妥善保管，不得擅自向他人披露或允许</w:t>
      </w:r>
      <w:r>
        <w:rPr>
          <w:rFonts w:ascii="仿宋_GB2312" w:eastAsia="仿宋_GB2312" w:hAnsi="仿宋" w:hint="eastAsia"/>
          <w:sz w:val="32"/>
          <w:szCs w:val="32"/>
        </w:rPr>
        <w:lastRenderedPageBreak/>
        <w:t>他人使用。</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交易所可根据法律法规规定，或应有权机关要求，提供指定信息。</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场外期权业务各参与主体应当妥善保存各自形成的交易、结算、交</w:t>
      </w:r>
      <w:proofErr w:type="gramStart"/>
      <w:r>
        <w:rPr>
          <w:rFonts w:ascii="仿宋_GB2312" w:eastAsia="仿宋_GB2312" w:hAnsi="仿宋" w:hint="eastAsia"/>
          <w:sz w:val="32"/>
          <w:szCs w:val="32"/>
        </w:rPr>
        <w:t>收记录</w:t>
      </w:r>
      <w:proofErr w:type="gramEnd"/>
      <w:r>
        <w:rPr>
          <w:rFonts w:ascii="仿宋_GB2312" w:eastAsia="仿宋_GB2312" w:hAnsi="仿宋" w:hint="eastAsia"/>
          <w:sz w:val="32"/>
          <w:szCs w:val="32"/>
        </w:rPr>
        <w:t>及相关资料，保存期限应当不少于</w:t>
      </w:r>
      <w:r>
        <w:rPr>
          <w:rFonts w:ascii="仿宋_GB2312" w:eastAsia="仿宋_GB2312" w:hAnsi="仿宋"/>
          <w:sz w:val="32"/>
          <w:szCs w:val="32"/>
        </w:rPr>
        <w:t>10</w:t>
      </w:r>
      <w:r>
        <w:rPr>
          <w:rFonts w:ascii="仿宋_GB2312" w:eastAsia="仿宋_GB2312" w:hAnsi="仿宋" w:hint="eastAsia"/>
          <w:sz w:val="32"/>
          <w:szCs w:val="32"/>
        </w:rPr>
        <w:t>年。</w:t>
      </w:r>
    </w:p>
    <w:p w:rsidR="00D23A25" w:rsidRDefault="00D23A25" w:rsidP="00D23A25">
      <w:pPr>
        <w:pStyle w:val="ab"/>
        <w:numPr>
          <w:ilvl w:val="0"/>
          <w:numId w:val="1"/>
        </w:numPr>
        <w:spacing w:before="0" w:beforeAutospacing="0" w:after="0" w:afterAutospacing="0" w:line="580" w:lineRule="exact"/>
        <w:jc w:val="center"/>
        <w:rPr>
          <w:rFonts w:ascii="黑体" w:eastAsia="黑体" w:hAnsi="黑体"/>
          <w:bCs/>
          <w:sz w:val="32"/>
          <w:szCs w:val="32"/>
        </w:rPr>
      </w:pPr>
      <w:r>
        <w:rPr>
          <w:rFonts w:ascii="黑体" w:eastAsia="黑体" w:hAnsi="黑体"/>
          <w:bCs/>
          <w:sz w:val="32"/>
          <w:szCs w:val="32"/>
        </w:rPr>
        <w:t>风险与责任</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各参与主体应当履行场外期权业务的各项相关义务，并承担相关风险及责任。</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交易所有权对各参与主体在平台上发生的所有交易行为进行监督管理。</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交易所有权根据场外期权业务相关规则、参与主体的授权及有权机关的法律文书等书面文件，对资金进行划转。</w:t>
      </w:r>
    </w:p>
    <w:p w:rsidR="00D23A25" w:rsidRDefault="00D23A25" w:rsidP="00D23A25">
      <w:pPr>
        <w:pStyle w:val="1"/>
        <w:numPr>
          <w:ilvl w:val="0"/>
          <w:numId w:val="2"/>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场外期权业务进行期间，出现下列异常情况之一的，交易所可以采取调整开市收市时间、暂停交易、限制出金等紧急措施：</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（一）地震、水灾、火灾、台风、战争、疫情等不可抗力或者暴力恐怖袭击、网络袭击、停电、通讯故障计算机系统故障等原因导致交易、结算、交收等业务全部或者部分无法正常进行；</w:t>
      </w:r>
    </w:p>
    <w:p w:rsidR="00D23A25" w:rsidRDefault="00D23A25" w:rsidP="00D23A25">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（二）交易所认定的其他情况。</w:t>
      </w:r>
    </w:p>
    <w:p w:rsidR="00D23A25" w:rsidRDefault="00D23A25" w:rsidP="00D23A25">
      <w:pPr>
        <w:pStyle w:val="1"/>
        <w:tabs>
          <w:tab w:val="left" w:pos="1620"/>
          <w:tab w:val="left" w:pos="1800"/>
        </w:tabs>
        <w:spacing w:line="580" w:lineRule="exact"/>
        <w:ind w:firstLineChars="0" w:firstLine="640"/>
        <w:rPr>
          <w:rFonts w:ascii="仿宋_GB2312" w:eastAsia="仿宋_GB2312" w:hAnsi="仿宋"/>
          <w:sz w:val="32"/>
          <w:szCs w:val="32"/>
        </w:rPr>
      </w:pPr>
      <w:r>
        <w:rPr>
          <w:rFonts w:ascii="仿宋_GB2312" w:eastAsia="仿宋_GB2312" w:hAnsi="仿宋"/>
          <w:sz w:val="32"/>
          <w:szCs w:val="32"/>
        </w:rPr>
        <w:lastRenderedPageBreak/>
        <w:t>因不可抗力或其他非因交易所过错引发的技术故障交易所不承担责任。</w:t>
      </w:r>
    </w:p>
    <w:p w:rsidR="00D23A25" w:rsidRDefault="00D23A25" w:rsidP="00D23A25">
      <w:pPr>
        <w:pStyle w:val="ab"/>
        <w:numPr>
          <w:ilvl w:val="0"/>
          <w:numId w:val="1"/>
        </w:numPr>
        <w:spacing w:before="0" w:beforeAutospacing="0" w:after="0" w:afterAutospacing="0" w:line="580" w:lineRule="exact"/>
        <w:jc w:val="center"/>
        <w:rPr>
          <w:rFonts w:ascii="黑体" w:eastAsia="黑体" w:hAnsi="黑体"/>
          <w:bCs/>
          <w:sz w:val="32"/>
          <w:szCs w:val="32"/>
        </w:rPr>
      </w:pPr>
      <w:r>
        <w:rPr>
          <w:rFonts w:ascii="黑体" w:eastAsia="黑体" w:hAnsi="黑体" w:hint="eastAsia"/>
          <w:bCs/>
          <w:sz w:val="32"/>
          <w:szCs w:val="32"/>
        </w:rPr>
        <w:t>附则</w:t>
      </w:r>
    </w:p>
    <w:p w:rsidR="00D23A25" w:rsidRDefault="00D23A25" w:rsidP="00D23A25">
      <w:pPr>
        <w:pStyle w:val="1"/>
        <w:numPr>
          <w:ilvl w:val="0"/>
          <w:numId w:val="2"/>
        </w:numPr>
        <w:tabs>
          <w:tab w:val="left" w:pos="1620"/>
          <w:tab w:val="left" w:pos="1800"/>
        </w:tabs>
        <w:spacing w:line="580" w:lineRule="exact"/>
        <w:ind w:left="284" w:firstLine="640"/>
        <w:rPr>
          <w:rFonts w:ascii="仿宋_GB2312" w:eastAsia="仿宋_GB2312" w:hAnsi="仿宋"/>
          <w:sz w:val="32"/>
          <w:szCs w:val="32"/>
        </w:rPr>
      </w:pPr>
      <w:r>
        <w:rPr>
          <w:rFonts w:ascii="仿宋_GB2312" w:eastAsia="仿宋_GB2312" w:hAnsi="仿宋" w:hint="eastAsia"/>
          <w:sz w:val="32"/>
          <w:szCs w:val="32"/>
        </w:rPr>
        <w:t>本办法解释权属于交易所。</w:t>
      </w:r>
    </w:p>
    <w:p w:rsidR="009F41D4" w:rsidRPr="00B60AF7" w:rsidRDefault="00B60AF7" w:rsidP="006D3C01">
      <w:pPr>
        <w:pStyle w:val="1"/>
        <w:numPr>
          <w:ilvl w:val="0"/>
          <w:numId w:val="2"/>
        </w:numPr>
        <w:tabs>
          <w:tab w:val="left" w:pos="1620"/>
          <w:tab w:val="left" w:pos="1800"/>
        </w:tabs>
        <w:spacing w:line="580" w:lineRule="exact"/>
        <w:ind w:left="284" w:firstLine="640"/>
        <w:rPr>
          <w:rFonts w:ascii="仿宋_GB2312" w:eastAsia="仿宋_GB2312"/>
          <w:sz w:val="32"/>
          <w:szCs w:val="32"/>
        </w:rPr>
      </w:pPr>
      <w:r w:rsidRPr="00B60AF7">
        <w:rPr>
          <w:rFonts w:ascii="仿宋_GB2312" w:eastAsia="仿宋_GB2312" w:hAnsi="仿宋" w:hint="eastAsia"/>
          <w:sz w:val="32"/>
          <w:szCs w:val="32"/>
        </w:rPr>
        <w:t>本办法自发布之日起实施。</w:t>
      </w:r>
      <w:bookmarkStart w:id="3" w:name="_GoBack"/>
      <w:bookmarkEnd w:id="3"/>
    </w:p>
    <w:sectPr w:rsidR="009F41D4" w:rsidRPr="00B60AF7" w:rsidSect="001C3995">
      <w:footerReference w:type="default" r:id="rId12"/>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5B1" w:rsidRDefault="009B35B1">
      <w:r>
        <w:separator/>
      </w:r>
    </w:p>
  </w:endnote>
  <w:endnote w:type="continuationSeparator" w:id="0">
    <w:p w:rsidR="009B35B1" w:rsidRDefault="009B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833764"/>
    </w:sdtPr>
    <w:sdtEndPr/>
    <w:sdtContent>
      <w:p w:rsidR="009B35B1" w:rsidRDefault="009B35B1" w:rsidP="001C3995">
        <w:pPr>
          <w:pStyle w:val="a7"/>
          <w:jc w:val="center"/>
          <w:rPr>
            <w:rFonts w:hint="eastAsia"/>
          </w:rPr>
        </w:pPr>
        <w:r>
          <w:fldChar w:fldCharType="begin"/>
        </w:r>
        <w:r>
          <w:instrText>PAGE   \* MERGEFORMAT</w:instrText>
        </w:r>
        <w:r>
          <w:fldChar w:fldCharType="separate"/>
        </w:r>
        <w:r w:rsidR="001C3995" w:rsidRPr="001C3995">
          <w:rPr>
            <w:noProof/>
            <w:lang w:val="zh-CN"/>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5B1" w:rsidRDefault="009B35B1">
      <w:r>
        <w:separator/>
      </w:r>
    </w:p>
  </w:footnote>
  <w:footnote w:type="continuationSeparator" w:id="0">
    <w:p w:rsidR="009B35B1" w:rsidRDefault="009B3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617A0"/>
    <w:multiLevelType w:val="singleLevel"/>
    <w:tmpl w:val="9C7617A0"/>
    <w:lvl w:ilvl="0">
      <w:start w:val="2"/>
      <w:numFmt w:val="chineseCounting"/>
      <w:suff w:val="space"/>
      <w:lvlText w:val="第%1条"/>
      <w:lvlJc w:val="left"/>
      <w:rPr>
        <w:rFonts w:hint="eastAsia"/>
      </w:rPr>
    </w:lvl>
  </w:abstractNum>
  <w:abstractNum w:abstractNumId="1" w15:restartNumberingAfterBreak="0">
    <w:nsid w:val="B8DF24D9"/>
    <w:multiLevelType w:val="singleLevel"/>
    <w:tmpl w:val="B8DF24D9"/>
    <w:lvl w:ilvl="0">
      <w:start w:val="8"/>
      <w:numFmt w:val="chineseCounting"/>
      <w:suff w:val="space"/>
      <w:lvlText w:val="第%1条"/>
      <w:lvlJc w:val="left"/>
      <w:rPr>
        <w:rFonts w:hint="eastAsia"/>
      </w:rPr>
    </w:lvl>
  </w:abstractNum>
  <w:abstractNum w:abstractNumId="2" w15:restartNumberingAfterBreak="0">
    <w:nsid w:val="08B946CC"/>
    <w:multiLevelType w:val="hybridMultilevel"/>
    <w:tmpl w:val="DCA8B38C"/>
    <w:lvl w:ilvl="0" w:tplc="7DF6C508">
      <w:start w:val="1"/>
      <w:numFmt w:val="chineseCountingThousand"/>
      <w:lvlText w:val="第%1条"/>
      <w:lvlJc w:val="left"/>
      <w:pPr>
        <w:ind w:left="1060" w:hanging="420"/>
      </w:pPr>
      <w:rPr>
        <w:rFonts w:hint="eastAsia"/>
        <w:b/>
        <w:sz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C22242"/>
    <w:multiLevelType w:val="multilevel"/>
    <w:tmpl w:val="08C22242"/>
    <w:lvl w:ilvl="0">
      <w:start w:val="1"/>
      <w:numFmt w:val="chineseCountingThousand"/>
      <w:lvlText w:val="第%1章"/>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1795C7A"/>
    <w:multiLevelType w:val="multilevel"/>
    <w:tmpl w:val="51795C7A"/>
    <w:lvl w:ilvl="0">
      <w:start w:val="1"/>
      <w:numFmt w:val="chineseCountingThousand"/>
      <w:lvlText w:val="第%1条 "/>
      <w:lvlJc w:val="left"/>
      <w:pPr>
        <w:ind w:left="4673" w:hanging="420"/>
      </w:pPr>
      <w:rPr>
        <w:rFonts w:ascii="仿宋_GB2312" w:eastAsia="仿宋_GB2312" w:hAnsi="黑体" w:cs="Times New Roman" w:hint="eastAsia"/>
        <w:b/>
        <w:color w:val="auto"/>
        <w:sz w:val="32"/>
        <w:szCs w:val="32"/>
        <w:lang w:val="en-US"/>
      </w:rPr>
    </w:lvl>
    <w:lvl w:ilvl="1">
      <w:start w:val="1"/>
      <w:numFmt w:val="lowerLetter"/>
      <w:lvlText w:val="%2)"/>
      <w:lvlJc w:val="left"/>
      <w:pPr>
        <w:ind w:left="8569" w:hanging="420"/>
      </w:pPr>
      <w:rPr>
        <w:rFonts w:cs="Times New Roman"/>
      </w:rPr>
    </w:lvl>
    <w:lvl w:ilvl="2">
      <w:start w:val="1"/>
      <w:numFmt w:val="lowerRoman"/>
      <w:lvlText w:val="%3."/>
      <w:lvlJc w:val="right"/>
      <w:pPr>
        <w:ind w:left="8989" w:hanging="420"/>
      </w:pPr>
      <w:rPr>
        <w:rFonts w:cs="Times New Roman"/>
      </w:rPr>
    </w:lvl>
    <w:lvl w:ilvl="3">
      <w:start w:val="1"/>
      <w:numFmt w:val="decimal"/>
      <w:lvlText w:val="%4."/>
      <w:lvlJc w:val="left"/>
      <w:pPr>
        <w:ind w:left="9409" w:hanging="420"/>
      </w:pPr>
      <w:rPr>
        <w:rFonts w:cs="Times New Roman"/>
      </w:rPr>
    </w:lvl>
    <w:lvl w:ilvl="4">
      <w:start w:val="1"/>
      <w:numFmt w:val="lowerLetter"/>
      <w:lvlText w:val="%5)"/>
      <w:lvlJc w:val="left"/>
      <w:pPr>
        <w:ind w:left="9829" w:hanging="420"/>
      </w:pPr>
      <w:rPr>
        <w:rFonts w:cs="Times New Roman"/>
      </w:rPr>
    </w:lvl>
    <w:lvl w:ilvl="5">
      <w:start w:val="1"/>
      <w:numFmt w:val="lowerRoman"/>
      <w:lvlText w:val="%6."/>
      <w:lvlJc w:val="right"/>
      <w:pPr>
        <w:ind w:left="10249" w:hanging="420"/>
      </w:pPr>
      <w:rPr>
        <w:rFonts w:cs="Times New Roman"/>
      </w:rPr>
    </w:lvl>
    <w:lvl w:ilvl="6">
      <w:start w:val="1"/>
      <w:numFmt w:val="decimal"/>
      <w:lvlText w:val="%7."/>
      <w:lvlJc w:val="left"/>
      <w:pPr>
        <w:ind w:left="10669" w:hanging="420"/>
      </w:pPr>
      <w:rPr>
        <w:rFonts w:cs="Times New Roman"/>
      </w:rPr>
    </w:lvl>
    <w:lvl w:ilvl="7">
      <w:start w:val="1"/>
      <w:numFmt w:val="lowerLetter"/>
      <w:lvlText w:val="%8)"/>
      <w:lvlJc w:val="left"/>
      <w:pPr>
        <w:ind w:left="11089" w:hanging="420"/>
      </w:pPr>
      <w:rPr>
        <w:rFonts w:cs="Times New Roman"/>
      </w:rPr>
    </w:lvl>
    <w:lvl w:ilvl="8">
      <w:start w:val="1"/>
      <w:numFmt w:val="lowerRoman"/>
      <w:lvlText w:val="%9."/>
      <w:lvlJc w:val="right"/>
      <w:pPr>
        <w:ind w:left="11509" w:hanging="420"/>
      </w:pPr>
      <w:rPr>
        <w:rFonts w:cs="Times New Roman"/>
      </w:rPr>
    </w:lvl>
  </w:abstractNum>
  <w:abstractNum w:abstractNumId="5" w15:restartNumberingAfterBreak="0">
    <w:nsid w:val="5C1612E2"/>
    <w:multiLevelType w:val="multilevel"/>
    <w:tmpl w:val="5C1612E2"/>
    <w:lvl w:ilvl="0">
      <w:start w:val="1"/>
      <w:numFmt w:val="japaneseCounting"/>
      <w:lvlText w:val="（%1）"/>
      <w:lvlJc w:val="left"/>
      <w:pPr>
        <w:ind w:left="1720" w:hanging="108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7E817A3A"/>
    <w:multiLevelType w:val="multilevel"/>
    <w:tmpl w:val="7E817A3A"/>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76"/>
    <w:rsid w:val="00031964"/>
    <w:rsid w:val="00044E47"/>
    <w:rsid w:val="00051CC9"/>
    <w:rsid w:val="000637D8"/>
    <w:rsid w:val="000A7515"/>
    <w:rsid w:val="000B07A1"/>
    <w:rsid w:val="000B11BD"/>
    <w:rsid w:val="000C16C3"/>
    <w:rsid w:val="000C273E"/>
    <w:rsid w:val="000E0824"/>
    <w:rsid w:val="00113BD7"/>
    <w:rsid w:val="00171863"/>
    <w:rsid w:val="001967AC"/>
    <w:rsid w:val="001A0C76"/>
    <w:rsid w:val="001C3995"/>
    <w:rsid w:val="001D15D4"/>
    <w:rsid w:val="00221B5B"/>
    <w:rsid w:val="00291303"/>
    <w:rsid w:val="002A1D01"/>
    <w:rsid w:val="002A3D22"/>
    <w:rsid w:val="002B1A9D"/>
    <w:rsid w:val="002C585E"/>
    <w:rsid w:val="002E65A5"/>
    <w:rsid w:val="00314795"/>
    <w:rsid w:val="00355D1F"/>
    <w:rsid w:val="00374268"/>
    <w:rsid w:val="003B63A3"/>
    <w:rsid w:val="00402103"/>
    <w:rsid w:val="004526AB"/>
    <w:rsid w:val="00471D51"/>
    <w:rsid w:val="004A0CED"/>
    <w:rsid w:val="004B60F8"/>
    <w:rsid w:val="004D4549"/>
    <w:rsid w:val="004E5D03"/>
    <w:rsid w:val="005070B2"/>
    <w:rsid w:val="00541506"/>
    <w:rsid w:val="00560669"/>
    <w:rsid w:val="005856C9"/>
    <w:rsid w:val="005A166D"/>
    <w:rsid w:val="005B39A9"/>
    <w:rsid w:val="005E5E5A"/>
    <w:rsid w:val="00613133"/>
    <w:rsid w:val="00615A4F"/>
    <w:rsid w:val="006221E6"/>
    <w:rsid w:val="006337DF"/>
    <w:rsid w:val="006716B2"/>
    <w:rsid w:val="006717D5"/>
    <w:rsid w:val="0068283A"/>
    <w:rsid w:val="0068444B"/>
    <w:rsid w:val="006A59F7"/>
    <w:rsid w:val="006B34C5"/>
    <w:rsid w:val="006C7365"/>
    <w:rsid w:val="006E172E"/>
    <w:rsid w:val="007066DD"/>
    <w:rsid w:val="007116F7"/>
    <w:rsid w:val="00733F52"/>
    <w:rsid w:val="00773ECD"/>
    <w:rsid w:val="00792083"/>
    <w:rsid w:val="0079696B"/>
    <w:rsid w:val="00797F60"/>
    <w:rsid w:val="007B4FA3"/>
    <w:rsid w:val="007C4A8A"/>
    <w:rsid w:val="00816540"/>
    <w:rsid w:val="00825F75"/>
    <w:rsid w:val="00832B81"/>
    <w:rsid w:val="00851BA1"/>
    <w:rsid w:val="00893736"/>
    <w:rsid w:val="008D7865"/>
    <w:rsid w:val="009022B3"/>
    <w:rsid w:val="00906F07"/>
    <w:rsid w:val="00917ADE"/>
    <w:rsid w:val="009B35B1"/>
    <w:rsid w:val="009B7EE2"/>
    <w:rsid w:val="009C1D1F"/>
    <w:rsid w:val="009D6149"/>
    <w:rsid w:val="009F41D4"/>
    <w:rsid w:val="00A15B40"/>
    <w:rsid w:val="00A64321"/>
    <w:rsid w:val="00A64FAC"/>
    <w:rsid w:val="00AA3A12"/>
    <w:rsid w:val="00AB4557"/>
    <w:rsid w:val="00AE3117"/>
    <w:rsid w:val="00B04FED"/>
    <w:rsid w:val="00B24627"/>
    <w:rsid w:val="00B55BBE"/>
    <w:rsid w:val="00B601A5"/>
    <w:rsid w:val="00B60AF7"/>
    <w:rsid w:val="00B71D3F"/>
    <w:rsid w:val="00B96E1D"/>
    <w:rsid w:val="00BA115A"/>
    <w:rsid w:val="00BA1936"/>
    <w:rsid w:val="00BF0713"/>
    <w:rsid w:val="00C20428"/>
    <w:rsid w:val="00C41E90"/>
    <w:rsid w:val="00C80C96"/>
    <w:rsid w:val="00CA590B"/>
    <w:rsid w:val="00CB1AE6"/>
    <w:rsid w:val="00D20345"/>
    <w:rsid w:val="00D23A25"/>
    <w:rsid w:val="00D3387E"/>
    <w:rsid w:val="00D71F59"/>
    <w:rsid w:val="00D80F3F"/>
    <w:rsid w:val="00DA5D8D"/>
    <w:rsid w:val="00E82F09"/>
    <w:rsid w:val="00EC62E9"/>
    <w:rsid w:val="00EF089E"/>
    <w:rsid w:val="00EF0AA5"/>
    <w:rsid w:val="00F04E62"/>
    <w:rsid w:val="00F229E2"/>
    <w:rsid w:val="00F46CA7"/>
    <w:rsid w:val="00F510B0"/>
    <w:rsid w:val="00FC55F0"/>
    <w:rsid w:val="17F50CB6"/>
    <w:rsid w:val="20327DCB"/>
    <w:rsid w:val="20425118"/>
    <w:rsid w:val="22CC3EEB"/>
    <w:rsid w:val="261A08B5"/>
    <w:rsid w:val="2A5A0C45"/>
    <w:rsid w:val="2D9F2117"/>
    <w:rsid w:val="31D00315"/>
    <w:rsid w:val="36802AB0"/>
    <w:rsid w:val="39F64414"/>
    <w:rsid w:val="3D37479B"/>
    <w:rsid w:val="451929BB"/>
    <w:rsid w:val="48FD3A90"/>
    <w:rsid w:val="493E7387"/>
    <w:rsid w:val="4C671A04"/>
    <w:rsid w:val="4C757A3B"/>
    <w:rsid w:val="4CAF499D"/>
    <w:rsid w:val="4DBC2DA4"/>
    <w:rsid w:val="511B483C"/>
    <w:rsid w:val="515E21C8"/>
    <w:rsid w:val="57E978B5"/>
    <w:rsid w:val="5A2367E7"/>
    <w:rsid w:val="63F07CB9"/>
    <w:rsid w:val="656F6C81"/>
    <w:rsid w:val="665F4244"/>
    <w:rsid w:val="7664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B18A40"/>
  <w15:docId w15:val="{132729D0-D7D8-4BD9-82E3-3D176B8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C2A95-63ED-4923-9BEC-AD0B8E52E84A}">
  <ds:schemaRefs>
    <ds:schemaRef ds:uri="http://schemas.microsoft.com/sharepoint/v3/contenttype/forms"/>
  </ds:schemaRefs>
</ds:datastoreItem>
</file>

<file path=customXml/itemProps2.xml><?xml version="1.0" encoding="utf-8"?>
<ds:datastoreItem xmlns:ds="http://schemas.openxmlformats.org/officeDocument/2006/customXml" ds:itemID="{F8CFF441-7AB2-4878-B45B-23336E7E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983B84B-1ED3-4966-A900-F2E09516C9EF}">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4f16167e-0980-47ed-bfa9-106d2637988c"/>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CC2C1127-C670-4D05-AFAB-A9117251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liuhao</dc:creator>
  <cp:lastModifiedBy>王皓如</cp:lastModifiedBy>
  <cp:revision>5</cp:revision>
  <cp:lastPrinted>2021-04-27T05:49:00Z</cp:lastPrinted>
  <dcterms:created xsi:type="dcterms:W3CDTF">2021-04-29T09:10:00Z</dcterms:created>
  <dcterms:modified xsi:type="dcterms:W3CDTF">2021-04-29T10:00:00Z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