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5A4" w:rsidRDefault="00E705A4" w:rsidP="00E705A4">
      <w:pPr>
        <w:rPr>
          <w:rFonts w:ascii="Times New Roman" w:eastAsia="黑体" w:hAnsi="Times New Roman"/>
          <w:sz w:val="32"/>
          <w:szCs w:val="32"/>
        </w:rPr>
      </w:pPr>
      <w:r>
        <w:rPr>
          <w:rFonts w:ascii="黑体" w:eastAsia="黑体" w:hAnsi="黑体" w:cs="黑体" w:hint="eastAsia"/>
          <w:sz w:val="32"/>
          <w:szCs w:val="32"/>
        </w:rPr>
        <w:t>附件</w:t>
      </w:r>
      <w:r>
        <w:rPr>
          <w:rFonts w:ascii="Times New Roman" w:eastAsia="黑体" w:hAnsi="Times New Roman" w:hint="eastAsia"/>
          <w:sz w:val="32"/>
          <w:szCs w:val="32"/>
        </w:rPr>
        <w:t>2</w:t>
      </w:r>
    </w:p>
    <w:p w:rsidR="005D24CD" w:rsidRDefault="00E705A4" w:rsidP="00E705A4">
      <w:pPr>
        <w:spacing w:line="580" w:lineRule="exact"/>
        <w:ind w:leftChars="-295" w:left="-619" w:rightChars="-244" w:right="-512"/>
        <w:jc w:val="center"/>
        <w:rPr>
          <w:rFonts w:ascii="宋体" w:eastAsia="宋体" w:hAnsi="宋体"/>
          <w:b/>
          <w:sz w:val="44"/>
          <w:szCs w:val="44"/>
        </w:rPr>
      </w:pPr>
      <w:proofErr w:type="gramStart"/>
      <w:r>
        <w:rPr>
          <w:rFonts w:ascii="宋体" w:eastAsia="宋体" w:hAnsi="宋体" w:hint="eastAsia"/>
          <w:b/>
          <w:sz w:val="44"/>
          <w:szCs w:val="44"/>
        </w:rPr>
        <w:t>《</w:t>
      </w:r>
      <w:proofErr w:type="gramEnd"/>
      <w:r>
        <w:rPr>
          <w:rFonts w:ascii="宋体" w:eastAsia="宋体" w:hAnsi="宋体" w:hint="eastAsia"/>
          <w:b/>
          <w:sz w:val="44"/>
          <w:szCs w:val="44"/>
        </w:rPr>
        <w:t>大连商品交易所场外衍生品交易商管理</w:t>
      </w:r>
    </w:p>
    <w:p w:rsidR="00E705A4" w:rsidRDefault="00E705A4" w:rsidP="005D24CD">
      <w:pPr>
        <w:spacing w:line="580" w:lineRule="exact"/>
        <w:ind w:leftChars="-295" w:left="-619" w:rightChars="-244" w:right="-512"/>
        <w:jc w:val="center"/>
        <w:rPr>
          <w:rFonts w:ascii="宋体" w:eastAsia="宋体" w:hAnsi="宋体"/>
          <w:b/>
          <w:sz w:val="44"/>
          <w:szCs w:val="44"/>
        </w:rPr>
      </w:pPr>
      <w:r>
        <w:rPr>
          <w:rFonts w:ascii="宋体" w:eastAsia="宋体" w:hAnsi="宋体" w:hint="eastAsia"/>
          <w:b/>
          <w:sz w:val="44"/>
          <w:szCs w:val="44"/>
        </w:rPr>
        <w:t>办法（试行）</w:t>
      </w:r>
      <w:proofErr w:type="gramStart"/>
      <w:r>
        <w:rPr>
          <w:rFonts w:ascii="宋体" w:eastAsia="宋体" w:hAnsi="宋体" w:hint="eastAsia"/>
          <w:b/>
          <w:sz w:val="44"/>
          <w:szCs w:val="44"/>
        </w:rPr>
        <w:t>》</w:t>
      </w:r>
      <w:proofErr w:type="gramEnd"/>
      <w:r>
        <w:rPr>
          <w:rFonts w:ascii="宋体" w:eastAsia="宋体" w:hAnsi="宋体" w:hint="eastAsia"/>
          <w:b/>
          <w:sz w:val="44"/>
          <w:szCs w:val="44"/>
        </w:rPr>
        <w:t>修正案</w:t>
      </w:r>
    </w:p>
    <w:p w:rsidR="00E705A4" w:rsidRDefault="00E705A4" w:rsidP="00E705A4">
      <w:pPr>
        <w:spacing w:line="580" w:lineRule="exact"/>
        <w:jc w:val="center"/>
        <w:rPr>
          <w:rFonts w:ascii="Times New Roman" w:eastAsia="仿宋_GB2312" w:hAnsi="Times New Roman"/>
          <w:b/>
          <w:sz w:val="32"/>
          <w:szCs w:val="32"/>
        </w:rPr>
      </w:pPr>
    </w:p>
    <w:p w:rsidR="00E705A4" w:rsidRDefault="00E705A4" w:rsidP="00E705A4">
      <w:pPr>
        <w:spacing w:line="580" w:lineRule="exact"/>
        <w:ind w:firstLineChars="221" w:firstLine="707"/>
        <w:rPr>
          <w:rFonts w:ascii="Times New Roman" w:eastAsia="仿宋_GB2312" w:hAnsi="Times New Roman"/>
          <w:sz w:val="32"/>
          <w:szCs w:val="32"/>
        </w:rPr>
      </w:pPr>
      <w:r>
        <w:rPr>
          <w:rFonts w:ascii="Times New Roman" w:eastAsia="仿宋_GB2312" w:hAnsi="Times New Roman" w:hint="eastAsia"/>
          <w:sz w:val="32"/>
          <w:szCs w:val="32"/>
        </w:rPr>
        <w:t>……</w:t>
      </w:r>
    </w:p>
    <w:p w:rsidR="00E705A4" w:rsidRDefault="00E705A4" w:rsidP="00E705A4">
      <w:pPr>
        <w:pStyle w:val="1"/>
        <w:tabs>
          <w:tab w:val="left" w:pos="1620"/>
          <w:tab w:val="left" w:pos="1800"/>
        </w:tabs>
        <w:spacing w:line="580" w:lineRule="exact"/>
        <w:ind w:firstLineChars="221" w:firstLine="707"/>
        <w:rPr>
          <w:rFonts w:ascii="仿宋_GB2312" w:eastAsia="仿宋_GB2312" w:hAnsi="仿宋"/>
          <w:sz w:val="32"/>
          <w:szCs w:val="32"/>
        </w:rPr>
      </w:pPr>
      <w:r>
        <w:rPr>
          <w:rFonts w:ascii="仿宋_GB2312" w:eastAsia="仿宋_GB2312" w:hAnsi="仿宋" w:hint="eastAsia"/>
          <w:sz w:val="32"/>
          <w:szCs w:val="32"/>
        </w:rPr>
        <w:t>第九条 交易</w:t>
      </w:r>
      <w:proofErr w:type="gramStart"/>
      <w:r>
        <w:rPr>
          <w:rFonts w:ascii="仿宋_GB2312" w:eastAsia="仿宋_GB2312" w:hAnsi="仿宋" w:hint="eastAsia"/>
          <w:sz w:val="32"/>
          <w:szCs w:val="32"/>
        </w:rPr>
        <w:t>商存在</w:t>
      </w:r>
      <w:proofErr w:type="gramEnd"/>
      <w:r>
        <w:rPr>
          <w:rFonts w:ascii="仿宋_GB2312" w:eastAsia="仿宋_GB2312" w:hAnsi="仿宋" w:hint="eastAsia"/>
          <w:sz w:val="32"/>
          <w:szCs w:val="32"/>
        </w:rPr>
        <w:t>下列情形之一的，交易所有权取消其交易商资格并向市场公告：</w:t>
      </w:r>
    </w:p>
    <w:p w:rsidR="00E705A4" w:rsidRDefault="00E705A4" w:rsidP="00E705A4">
      <w:pPr>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（一）两个自然年度内未在交易所综合服务平台开展场外衍生品业务；</w:t>
      </w:r>
    </w:p>
    <w:p w:rsidR="00E705A4" w:rsidRDefault="00E705A4" w:rsidP="00E705A4">
      <w:pPr>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（二）不再满足本办法第六条规定的交易商条件；</w:t>
      </w:r>
    </w:p>
    <w:p w:rsidR="00E705A4" w:rsidRDefault="00E705A4" w:rsidP="00E705A4">
      <w:pPr>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（三）存在重大违法违规行为；</w:t>
      </w:r>
    </w:p>
    <w:p w:rsidR="00E705A4" w:rsidRDefault="00E705A4" w:rsidP="00E705A4">
      <w:pPr>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（四）依法被收购、兼并、撤销、解散或者宣告破产；</w:t>
      </w:r>
    </w:p>
    <w:p w:rsidR="00E705A4" w:rsidRDefault="00E705A4" w:rsidP="00E705A4">
      <w:pPr>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（五）向交易所提交虚假材料；</w:t>
      </w:r>
    </w:p>
    <w:p w:rsidR="00E705A4" w:rsidRDefault="00E705A4" w:rsidP="00E705A4">
      <w:pPr>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（六）</w:t>
      </w:r>
      <w:r w:rsidRPr="004B4E62">
        <w:rPr>
          <w:rFonts w:ascii="Times New Roman" w:eastAsia="仿宋_GB2312" w:hAnsi="Times New Roman" w:hint="eastAsia"/>
          <w:sz w:val="32"/>
          <w:szCs w:val="32"/>
          <w:shd w:val="pct15" w:color="auto" w:fill="FFFFFF"/>
        </w:rPr>
        <w:t>本办法规定、</w:t>
      </w:r>
      <w:r>
        <w:rPr>
          <w:rFonts w:ascii="Times New Roman" w:eastAsia="仿宋_GB2312" w:hAnsi="Times New Roman" w:hint="eastAsia"/>
          <w:sz w:val="32"/>
          <w:szCs w:val="32"/>
        </w:rPr>
        <w:t>交易所认定或</w:t>
      </w:r>
      <w:r w:rsidRPr="004B4E62">
        <w:rPr>
          <w:rFonts w:ascii="Times New Roman" w:eastAsia="仿宋_GB2312" w:hAnsi="Times New Roman" w:hint="eastAsia"/>
          <w:dstrike/>
          <w:sz w:val="32"/>
          <w:szCs w:val="32"/>
        </w:rPr>
        <w:t>者</w:t>
      </w:r>
      <w:r>
        <w:rPr>
          <w:rFonts w:ascii="Times New Roman" w:eastAsia="仿宋_GB2312" w:hAnsi="Times New Roman" w:hint="eastAsia"/>
          <w:sz w:val="32"/>
          <w:szCs w:val="32"/>
        </w:rPr>
        <w:t>协议约定的其他情形。</w:t>
      </w:r>
    </w:p>
    <w:p w:rsidR="00E705A4" w:rsidRDefault="00E705A4" w:rsidP="00E705A4">
      <w:pPr>
        <w:spacing w:line="580" w:lineRule="exact"/>
        <w:ind w:firstLineChars="221" w:firstLine="707"/>
        <w:rPr>
          <w:rFonts w:ascii="Times New Roman" w:eastAsia="仿宋_GB2312" w:hAnsi="Times New Roman"/>
          <w:sz w:val="32"/>
          <w:szCs w:val="32"/>
        </w:rPr>
      </w:pPr>
      <w:r>
        <w:rPr>
          <w:rFonts w:ascii="Times New Roman" w:eastAsia="仿宋_GB2312" w:hAnsi="Times New Roman" w:hint="eastAsia"/>
          <w:sz w:val="32"/>
          <w:szCs w:val="32"/>
        </w:rPr>
        <w:t>……</w:t>
      </w:r>
    </w:p>
    <w:p w:rsidR="00E705A4" w:rsidRPr="004B4E62" w:rsidRDefault="00E705A4" w:rsidP="00E705A4">
      <w:pPr>
        <w:spacing w:beforeLines="50" w:before="156" w:afterLines="50" w:after="156" w:line="580" w:lineRule="exact"/>
        <w:jc w:val="center"/>
        <w:rPr>
          <w:rFonts w:ascii="黑体" w:eastAsia="黑体" w:hAnsi="黑体"/>
          <w:sz w:val="32"/>
          <w:szCs w:val="32"/>
          <w:shd w:val="pct15" w:color="auto" w:fill="FFFFFF"/>
        </w:rPr>
      </w:pPr>
      <w:r w:rsidRPr="004B4E62">
        <w:rPr>
          <w:rFonts w:ascii="黑体" w:eastAsia="黑体" w:hAnsi="黑体" w:hint="eastAsia"/>
          <w:sz w:val="32"/>
          <w:szCs w:val="32"/>
          <w:shd w:val="pct15" w:color="auto" w:fill="FFFFFF"/>
        </w:rPr>
        <w:t>第四章 产业服务项目主体交易商资格管理</w:t>
      </w:r>
    </w:p>
    <w:p w:rsidR="00E705A4" w:rsidRPr="004B4E62" w:rsidRDefault="00E705A4" w:rsidP="00E705A4">
      <w:pPr>
        <w:pStyle w:val="1"/>
        <w:tabs>
          <w:tab w:val="left" w:pos="1620"/>
          <w:tab w:val="left" w:pos="1800"/>
        </w:tabs>
        <w:spacing w:line="580" w:lineRule="exact"/>
        <w:ind w:firstLineChars="221" w:firstLine="707"/>
        <w:rPr>
          <w:rFonts w:ascii="仿宋_GB2312" w:eastAsia="仿宋_GB2312" w:hAnsi="仿宋"/>
          <w:sz w:val="32"/>
          <w:szCs w:val="32"/>
          <w:shd w:val="pct15" w:color="auto" w:fill="FFFFFF"/>
        </w:rPr>
      </w:pPr>
      <w:r w:rsidRPr="004B4E62">
        <w:rPr>
          <w:rFonts w:ascii="仿宋_GB2312" w:eastAsia="仿宋_GB2312" w:hAnsi="仿宋" w:hint="eastAsia"/>
          <w:sz w:val="32"/>
          <w:szCs w:val="32"/>
          <w:shd w:val="pct15" w:color="auto" w:fill="FFFFFF"/>
        </w:rPr>
        <w:t>第十七条 产业服务项目，指“大商所农保计划”、“大商所企风计划”及交易所认可的其他项目。产业服务项目主体（以下简称项目主体），指获得产业服务项目立项或备案资格的主体。</w:t>
      </w:r>
    </w:p>
    <w:p w:rsidR="00E705A4" w:rsidRPr="004B4E62" w:rsidRDefault="00E705A4" w:rsidP="00E705A4">
      <w:pPr>
        <w:pStyle w:val="1"/>
        <w:tabs>
          <w:tab w:val="left" w:pos="1620"/>
          <w:tab w:val="left" w:pos="1800"/>
        </w:tabs>
        <w:spacing w:line="580" w:lineRule="exact"/>
        <w:ind w:firstLineChars="221" w:firstLine="707"/>
        <w:rPr>
          <w:rFonts w:ascii="仿宋_GB2312" w:eastAsia="仿宋_GB2312" w:hAnsi="仿宋"/>
          <w:sz w:val="32"/>
          <w:szCs w:val="32"/>
          <w:shd w:val="pct15" w:color="auto" w:fill="FFFFFF"/>
        </w:rPr>
      </w:pPr>
      <w:r w:rsidRPr="004B4E62">
        <w:rPr>
          <w:rFonts w:ascii="仿宋_GB2312" w:eastAsia="仿宋_GB2312" w:hAnsi="仿宋" w:hint="eastAsia"/>
          <w:sz w:val="32"/>
          <w:szCs w:val="32"/>
          <w:shd w:val="pct15" w:color="auto" w:fill="FFFFFF"/>
        </w:rPr>
        <w:t>第十八条 项目主体通过场外衍生品业务运行项目，应当申请获得交易商或客户资格，与交易所签订协议并开户。</w:t>
      </w:r>
    </w:p>
    <w:p w:rsidR="00E705A4" w:rsidRPr="004B4E62" w:rsidRDefault="00E705A4" w:rsidP="00E705A4">
      <w:pPr>
        <w:pStyle w:val="1"/>
        <w:tabs>
          <w:tab w:val="left" w:pos="1620"/>
          <w:tab w:val="left" w:pos="1800"/>
        </w:tabs>
        <w:spacing w:line="580" w:lineRule="exact"/>
        <w:ind w:firstLineChars="221" w:firstLine="707"/>
        <w:rPr>
          <w:rFonts w:ascii="仿宋_GB2312" w:eastAsia="仿宋_GB2312" w:hAnsi="仿宋"/>
          <w:sz w:val="32"/>
          <w:szCs w:val="32"/>
          <w:shd w:val="pct15" w:color="auto" w:fill="FFFFFF"/>
        </w:rPr>
      </w:pPr>
      <w:r w:rsidRPr="004B4E62">
        <w:rPr>
          <w:rFonts w:ascii="仿宋_GB2312" w:eastAsia="仿宋_GB2312" w:hAnsi="仿宋" w:hint="eastAsia"/>
          <w:sz w:val="32"/>
          <w:szCs w:val="32"/>
          <w:shd w:val="pct15" w:color="auto" w:fill="FFFFFF"/>
        </w:rPr>
        <w:lastRenderedPageBreak/>
        <w:t>第十九条 不符合交易</w:t>
      </w:r>
      <w:proofErr w:type="gramStart"/>
      <w:r w:rsidRPr="004B4E62">
        <w:rPr>
          <w:rFonts w:ascii="仿宋_GB2312" w:eastAsia="仿宋_GB2312" w:hAnsi="仿宋" w:hint="eastAsia"/>
          <w:sz w:val="32"/>
          <w:szCs w:val="32"/>
          <w:shd w:val="pct15" w:color="auto" w:fill="FFFFFF"/>
        </w:rPr>
        <w:t>商条件</w:t>
      </w:r>
      <w:proofErr w:type="gramEnd"/>
      <w:r w:rsidRPr="004B4E62">
        <w:rPr>
          <w:rFonts w:ascii="仿宋_GB2312" w:eastAsia="仿宋_GB2312" w:hAnsi="仿宋" w:hint="eastAsia"/>
          <w:sz w:val="32"/>
          <w:szCs w:val="32"/>
          <w:shd w:val="pct15" w:color="auto" w:fill="FFFFFF"/>
        </w:rPr>
        <w:t>的项目主体，可向交易所申请豁免部分条件，交易所同意后，获得交易商资格。</w:t>
      </w:r>
    </w:p>
    <w:p w:rsidR="00E705A4" w:rsidRPr="004B4E62" w:rsidRDefault="00E705A4" w:rsidP="00E705A4">
      <w:pPr>
        <w:pStyle w:val="1"/>
        <w:tabs>
          <w:tab w:val="left" w:pos="1620"/>
          <w:tab w:val="left" w:pos="1800"/>
        </w:tabs>
        <w:spacing w:line="580" w:lineRule="exact"/>
        <w:ind w:firstLineChars="221" w:firstLine="707"/>
        <w:rPr>
          <w:rFonts w:ascii="仿宋_GB2312" w:eastAsia="仿宋_GB2312" w:hAnsi="仿宋"/>
          <w:sz w:val="32"/>
          <w:szCs w:val="32"/>
          <w:shd w:val="pct15" w:color="auto" w:fill="FFFFFF"/>
        </w:rPr>
      </w:pPr>
      <w:r w:rsidRPr="004B4E62">
        <w:rPr>
          <w:rFonts w:ascii="仿宋_GB2312" w:eastAsia="仿宋_GB2312" w:hAnsi="仿宋" w:hint="eastAsia"/>
          <w:sz w:val="32"/>
          <w:szCs w:val="32"/>
          <w:shd w:val="pct15" w:color="auto" w:fill="FFFFFF"/>
        </w:rPr>
        <w:t>第二十条 豁免部分条件后获得交易商资格的项目主体，只限</w:t>
      </w:r>
      <w:proofErr w:type="gramStart"/>
      <w:r w:rsidRPr="004B4E62">
        <w:rPr>
          <w:rFonts w:ascii="仿宋_GB2312" w:eastAsia="仿宋_GB2312" w:hAnsi="仿宋" w:hint="eastAsia"/>
          <w:sz w:val="32"/>
          <w:szCs w:val="32"/>
          <w:shd w:val="pct15" w:color="auto" w:fill="FFFFFF"/>
        </w:rPr>
        <w:t>于开展</w:t>
      </w:r>
      <w:proofErr w:type="gramEnd"/>
      <w:r w:rsidRPr="004B4E62">
        <w:rPr>
          <w:rFonts w:ascii="仿宋_GB2312" w:eastAsia="仿宋_GB2312" w:hAnsi="仿宋" w:hint="eastAsia"/>
          <w:sz w:val="32"/>
          <w:szCs w:val="32"/>
          <w:shd w:val="pct15" w:color="auto" w:fill="FFFFFF"/>
        </w:rPr>
        <w:t>产业服务项目范围内的场外衍生品业务。</w:t>
      </w:r>
    </w:p>
    <w:p w:rsidR="00E705A4" w:rsidRPr="004B4E62" w:rsidRDefault="00E705A4" w:rsidP="00E705A4">
      <w:pPr>
        <w:pStyle w:val="1"/>
        <w:tabs>
          <w:tab w:val="left" w:pos="1620"/>
          <w:tab w:val="left" w:pos="1800"/>
        </w:tabs>
        <w:spacing w:line="580" w:lineRule="exact"/>
        <w:ind w:firstLineChars="221" w:firstLine="707"/>
        <w:rPr>
          <w:rFonts w:ascii="仿宋_GB2312" w:eastAsia="仿宋_GB2312" w:hAnsi="仿宋"/>
          <w:sz w:val="32"/>
          <w:szCs w:val="32"/>
          <w:shd w:val="pct15" w:color="auto" w:fill="FFFFFF"/>
        </w:rPr>
      </w:pPr>
      <w:r w:rsidRPr="004B4E62">
        <w:rPr>
          <w:rFonts w:ascii="仿宋_GB2312" w:eastAsia="仿宋_GB2312" w:hAnsi="仿宋" w:hint="eastAsia"/>
          <w:sz w:val="32"/>
          <w:szCs w:val="32"/>
          <w:shd w:val="pct15" w:color="auto" w:fill="FFFFFF"/>
        </w:rPr>
        <w:t>第二十一条 对于豁免部分条件后获得交易商资格的项目主体，发生如下情形的，交易所有权取消其交易商资格：</w:t>
      </w:r>
    </w:p>
    <w:p w:rsidR="00E705A4" w:rsidRDefault="00E705A4" w:rsidP="00E705A4">
      <w:pPr>
        <w:pStyle w:val="1"/>
        <w:numPr>
          <w:ilvl w:val="0"/>
          <w:numId w:val="1"/>
        </w:numPr>
        <w:tabs>
          <w:tab w:val="left" w:pos="1620"/>
          <w:tab w:val="left" w:pos="1800"/>
        </w:tabs>
        <w:spacing w:line="580" w:lineRule="exact"/>
        <w:ind w:firstLineChars="221" w:firstLine="707"/>
        <w:rPr>
          <w:rFonts w:ascii="仿宋_GB2312" w:eastAsia="仿宋_GB2312" w:hAnsi="仿宋"/>
          <w:sz w:val="32"/>
          <w:szCs w:val="32"/>
          <w:shd w:val="pct15" w:color="auto" w:fill="FFFFFF"/>
        </w:rPr>
      </w:pPr>
      <w:r w:rsidRPr="00DC2C94">
        <w:rPr>
          <w:rFonts w:ascii="仿宋_GB2312" w:eastAsia="仿宋_GB2312" w:hAnsi="仿宋" w:hint="eastAsia"/>
          <w:sz w:val="32"/>
          <w:szCs w:val="32"/>
          <w:shd w:val="pct15" w:color="auto" w:fill="FFFFFF"/>
        </w:rPr>
        <w:t>未经交易所允许，开展产业服务项目范围外场外衍生品业务的；</w:t>
      </w:r>
    </w:p>
    <w:p w:rsidR="00E705A4" w:rsidRPr="004B4E62" w:rsidRDefault="00E705A4" w:rsidP="00E705A4">
      <w:pPr>
        <w:pStyle w:val="1"/>
        <w:numPr>
          <w:ilvl w:val="0"/>
          <w:numId w:val="1"/>
        </w:numPr>
        <w:tabs>
          <w:tab w:val="left" w:pos="1620"/>
          <w:tab w:val="left" w:pos="1800"/>
        </w:tabs>
        <w:spacing w:line="580" w:lineRule="exact"/>
        <w:ind w:left="640" w:firstLineChars="0" w:firstLine="0"/>
        <w:rPr>
          <w:rFonts w:ascii="仿宋_GB2312" w:eastAsia="仿宋_GB2312" w:hAnsi="仿宋"/>
          <w:sz w:val="32"/>
          <w:szCs w:val="32"/>
          <w:shd w:val="pct15" w:color="auto" w:fill="FFFFFF"/>
        </w:rPr>
      </w:pPr>
      <w:r w:rsidRPr="004B4E62">
        <w:rPr>
          <w:rFonts w:ascii="仿宋_GB2312" w:eastAsia="仿宋_GB2312" w:hAnsi="仿宋" w:hint="eastAsia"/>
          <w:sz w:val="32"/>
          <w:szCs w:val="32"/>
          <w:shd w:val="pct15" w:color="auto" w:fill="FFFFFF"/>
        </w:rPr>
        <w:t>产业服务项目运行结束的。</w:t>
      </w:r>
    </w:p>
    <w:p w:rsidR="00E705A4" w:rsidRDefault="00E705A4" w:rsidP="00E705A4">
      <w:pPr>
        <w:pStyle w:val="1"/>
        <w:tabs>
          <w:tab w:val="left" w:pos="1620"/>
          <w:tab w:val="left" w:pos="1800"/>
        </w:tabs>
        <w:spacing w:line="580" w:lineRule="exact"/>
        <w:ind w:firstLineChars="221" w:firstLine="707"/>
        <w:rPr>
          <w:rFonts w:ascii="仿宋_GB2312" w:eastAsia="仿宋_GB2312" w:hAnsi="仿宋"/>
          <w:sz w:val="32"/>
          <w:szCs w:val="32"/>
          <w:shd w:val="pct15" w:color="auto" w:fill="FFFFFF"/>
        </w:rPr>
      </w:pPr>
      <w:r w:rsidRPr="004B4E62">
        <w:rPr>
          <w:rFonts w:ascii="仿宋_GB2312" w:eastAsia="仿宋_GB2312" w:hAnsi="仿宋" w:hint="eastAsia"/>
          <w:sz w:val="32"/>
          <w:szCs w:val="32"/>
          <w:shd w:val="pct15" w:color="auto" w:fill="FFFFFF"/>
        </w:rPr>
        <w:t>第二十二条 项目主体交易商资格管理其他未涉及事项，按照本办法的相关规定执行。</w:t>
      </w:r>
    </w:p>
    <w:p w:rsidR="00E705A4" w:rsidRDefault="00E705A4" w:rsidP="00E705A4">
      <w:pPr>
        <w:rPr>
          <w:rFonts w:ascii="Times New Roman" w:eastAsia="仿宋_GB2312" w:hAnsi="Times New Roman"/>
          <w:sz w:val="32"/>
          <w:szCs w:val="32"/>
        </w:rPr>
      </w:pPr>
      <w:r>
        <w:rPr>
          <w:rFonts w:ascii="Times New Roman" w:eastAsia="仿宋_GB2312" w:hAnsi="Times New Roman" w:hint="eastAsia"/>
          <w:sz w:val="32"/>
          <w:szCs w:val="32"/>
        </w:rPr>
        <w:t>……</w:t>
      </w:r>
    </w:p>
    <w:p w:rsidR="00E705A4" w:rsidRDefault="00E705A4" w:rsidP="00E705A4">
      <w:pPr>
        <w:rPr>
          <w:rFonts w:ascii="Times New Roman" w:eastAsia="仿宋_GB2312" w:hAnsi="Times New Roman"/>
          <w:sz w:val="32"/>
          <w:szCs w:val="32"/>
        </w:rPr>
      </w:pPr>
      <w:r w:rsidRPr="00BC7418">
        <w:rPr>
          <w:rFonts w:ascii="仿宋_GB2312" w:eastAsia="仿宋_GB2312" w:hAnsi="仿宋" w:hint="eastAsia"/>
          <w:sz w:val="32"/>
          <w:szCs w:val="32"/>
        </w:rPr>
        <w:t>注：阴影部分为新增内容，双划线部分为删除内容，“……”（省略号）含义为该条款未修改的其他内容；出现条款增删的，其他条款顺序依次顺延。</w:t>
      </w:r>
    </w:p>
    <w:p w:rsidR="00E705A4" w:rsidRDefault="00E705A4" w:rsidP="00E705A4">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rsidR="005D24CD" w:rsidRDefault="00E705A4" w:rsidP="00E705A4">
      <w:pPr>
        <w:spacing w:line="580" w:lineRule="exact"/>
        <w:ind w:leftChars="-295" w:left="-619" w:rightChars="-244" w:right="-512"/>
        <w:jc w:val="center"/>
        <w:rPr>
          <w:rFonts w:ascii="宋体" w:eastAsia="宋体" w:hAnsi="宋体"/>
          <w:b/>
          <w:sz w:val="44"/>
          <w:szCs w:val="44"/>
        </w:rPr>
      </w:pPr>
      <w:proofErr w:type="gramStart"/>
      <w:r>
        <w:rPr>
          <w:rFonts w:ascii="宋体" w:eastAsia="宋体" w:hAnsi="宋体" w:hint="eastAsia"/>
          <w:b/>
          <w:sz w:val="44"/>
          <w:szCs w:val="44"/>
        </w:rPr>
        <w:lastRenderedPageBreak/>
        <w:t>《</w:t>
      </w:r>
      <w:proofErr w:type="gramEnd"/>
      <w:r>
        <w:rPr>
          <w:rFonts w:ascii="宋体" w:eastAsia="宋体" w:hAnsi="宋体" w:hint="eastAsia"/>
          <w:b/>
          <w:sz w:val="44"/>
          <w:szCs w:val="44"/>
        </w:rPr>
        <w:t>大连商品交易所场外衍生品交易商管理</w:t>
      </w:r>
    </w:p>
    <w:p w:rsidR="00E705A4" w:rsidRDefault="00E705A4" w:rsidP="005D24CD">
      <w:pPr>
        <w:spacing w:line="580" w:lineRule="exact"/>
        <w:ind w:leftChars="-295" w:left="-619" w:rightChars="-244" w:right="-512"/>
        <w:jc w:val="center"/>
        <w:rPr>
          <w:rFonts w:ascii="宋体" w:eastAsia="宋体" w:hAnsi="宋体"/>
          <w:b/>
          <w:sz w:val="44"/>
          <w:szCs w:val="44"/>
        </w:rPr>
      </w:pPr>
      <w:r>
        <w:rPr>
          <w:rFonts w:ascii="宋体" w:eastAsia="宋体" w:hAnsi="宋体" w:hint="eastAsia"/>
          <w:b/>
          <w:sz w:val="44"/>
          <w:szCs w:val="44"/>
        </w:rPr>
        <w:t>办法（试行）</w:t>
      </w:r>
      <w:proofErr w:type="gramStart"/>
      <w:r>
        <w:rPr>
          <w:rFonts w:ascii="宋体" w:eastAsia="宋体" w:hAnsi="宋体" w:hint="eastAsia"/>
          <w:b/>
          <w:sz w:val="44"/>
          <w:szCs w:val="44"/>
        </w:rPr>
        <w:t>》</w:t>
      </w:r>
      <w:proofErr w:type="gramEnd"/>
      <w:r>
        <w:rPr>
          <w:rFonts w:ascii="宋体" w:eastAsia="宋体" w:hAnsi="宋体" w:hint="eastAsia"/>
          <w:b/>
          <w:sz w:val="44"/>
          <w:szCs w:val="44"/>
        </w:rPr>
        <w:t>修订稿</w:t>
      </w:r>
    </w:p>
    <w:p w:rsidR="00E705A4" w:rsidRDefault="00E705A4" w:rsidP="00E705A4">
      <w:pPr>
        <w:spacing w:line="580" w:lineRule="exact"/>
        <w:jc w:val="center"/>
        <w:rPr>
          <w:rFonts w:ascii="Times New Roman" w:eastAsia="仿宋_GB2312" w:hAnsi="Times New Roman"/>
          <w:b/>
          <w:sz w:val="32"/>
          <w:szCs w:val="32"/>
        </w:rPr>
      </w:pPr>
    </w:p>
    <w:p w:rsidR="00E705A4" w:rsidRDefault="00E705A4" w:rsidP="00E705A4">
      <w:pPr>
        <w:spacing w:beforeLines="50" w:before="156" w:afterLines="50" w:after="156" w:line="580" w:lineRule="exact"/>
        <w:jc w:val="center"/>
        <w:rPr>
          <w:rFonts w:ascii="黑体" w:eastAsia="黑体" w:hAnsi="黑体"/>
          <w:sz w:val="32"/>
          <w:szCs w:val="32"/>
        </w:rPr>
      </w:pPr>
      <w:r>
        <w:rPr>
          <w:rFonts w:ascii="黑体" w:eastAsia="黑体" w:hAnsi="黑体" w:hint="eastAsia"/>
          <w:sz w:val="32"/>
          <w:szCs w:val="32"/>
        </w:rPr>
        <w:t>第一章 总则</w:t>
      </w:r>
    </w:p>
    <w:p w:rsidR="00E705A4" w:rsidRDefault="00E705A4" w:rsidP="00E705A4">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为促进大连商品交易所（以下简称交易所）场外衍生品业务的平稳运行，规范场外衍生品交易商（以下简称交易商）管理，制定本办法。</w:t>
      </w:r>
    </w:p>
    <w:p w:rsidR="00E705A4" w:rsidRDefault="00E705A4" w:rsidP="00E705A4">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交易商是指经交易所批准，为场外衍生品业务提供报价等服务，并作为客户的交易对手方的法人。</w:t>
      </w:r>
    </w:p>
    <w:p w:rsidR="00E705A4" w:rsidRDefault="00E705A4" w:rsidP="00E705A4">
      <w:pPr>
        <w:pStyle w:val="1"/>
        <w:tabs>
          <w:tab w:val="left" w:pos="1620"/>
          <w:tab w:val="left" w:pos="1800"/>
        </w:tabs>
        <w:spacing w:line="580" w:lineRule="exact"/>
        <w:ind w:firstLine="640"/>
        <w:rPr>
          <w:rFonts w:ascii="仿宋_GB2312" w:eastAsia="仿宋_GB2312" w:hAnsi="仿宋"/>
          <w:sz w:val="32"/>
          <w:szCs w:val="32"/>
        </w:rPr>
      </w:pPr>
      <w:r>
        <w:rPr>
          <w:rFonts w:ascii="仿宋_GB2312" w:eastAsia="仿宋_GB2312" w:hAnsi="仿宋" w:hint="eastAsia"/>
          <w:sz w:val="32"/>
          <w:szCs w:val="32"/>
        </w:rPr>
        <w:t>场外衍生品业务包括但不限于在交易所综合服务平台开展的商品互换、场外期权等。</w:t>
      </w:r>
    </w:p>
    <w:p w:rsidR="00E705A4" w:rsidRDefault="00E705A4" w:rsidP="00E705A4">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交易商在交易所综合服务平台开展场外衍生品业务应当严格遵守国家有关法规、行政法规和规章，满足相关监管要求和条件，履行反洗钱相关义务。</w:t>
      </w:r>
    </w:p>
    <w:p w:rsidR="00E705A4" w:rsidRDefault="00E705A4" w:rsidP="00E705A4">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本办法适用于交易商在交易所综合服务平台开展场外衍生品业务及相关活动，交易所、交易商应当遵守本办法。</w:t>
      </w:r>
    </w:p>
    <w:p w:rsidR="00E705A4" w:rsidRDefault="00E705A4" w:rsidP="00E705A4">
      <w:pPr>
        <w:spacing w:beforeLines="50" w:before="156" w:afterLines="50" w:after="156" w:line="580" w:lineRule="exact"/>
        <w:jc w:val="center"/>
        <w:rPr>
          <w:rFonts w:ascii="黑体" w:eastAsia="黑体" w:hAnsi="黑体"/>
          <w:sz w:val="32"/>
          <w:szCs w:val="32"/>
        </w:rPr>
      </w:pPr>
      <w:r>
        <w:rPr>
          <w:rFonts w:ascii="黑体" w:eastAsia="黑体" w:hAnsi="黑体" w:hint="eastAsia"/>
          <w:sz w:val="32"/>
          <w:szCs w:val="32"/>
        </w:rPr>
        <w:t>第二章 资格管理</w:t>
      </w:r>
    </w:p>
    <w:p w:rsidR="00E705A4" w:rsidRDefault="00E705A4" w:rsidP="00E705A4">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银行、证券公司、期货公司风险管理子公司或产业企业等符合条件的机构可以申请成为交易商。</w:t>
      </w:r>
    </w:p>
    <w:p w:rsidR="00E705A4" w:rsidRDefault="00E705A4" w:rsidP="00E705A4">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申请成为交易商，应当获得交易所场外会员资格或符合以下条件：</w:t>
      </w:r>
    </w:p>
    <w:p w:rsidR="00E705A4" w:rsidRDefault="00E705A4" w:rsidP="00E705A4">
      <w:pPr>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（一）注册资本及净资产均不低于</w:t>
      </w:r>
      <w:r>
        <w:rPr>
          <w:rFonts w:ascii="Times New Roman" w:eastAsia="仿宋_GB2312" w:hAnsi="Times New Roman"/>
          <w:sz w:val="32"/>
          <w:szCs w:val="32"/>
        </w:rPr>
        <w:t>5000</w:t>
      </w:r>
      <w:r>
        <w:rPr>
          <w:rFonts w:ascii="Times New Roman" w:eastAsia="仿宋_GB2312" w:hAnsi="Times New Roman"/>
          <w:sz w:val="32"/>
          <w:szCs w:val="32"/>
        </w:rPr>
        <w:t>万元；</w:t>
      </w:r>
    </w:p>
    <w:p w:rsidR="00E705A4" w:rsidRDefault="00E705A4" w:rsidP="00E705A4">
      <w:pPr>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（二）银行应当为国有大型商业银行、股份制商业银行或境内设立的外资商业银行；证券公司最近一年分类评级在</w:t>
      </w:r>
      <w:r>
        <w:rPr>
          <w:rFonts w:ascii="Times New Roman" w:eastAsia="仿宋_GB2312" w:hAnsi="Times New Roman"/>
          <w:sz w:val="32"/>
          <w:szCs w:val="32"/>
        </w:rPr>
        <w:t>A</w:t>
      </w:r>
      <w:r>
        <w:rPr>
          <w:rFonts w:ascii="Times New Roman" w:eastAsia="仿宋_GB2312" w:hAnsi="Times New Roman"/>
          <w:sz w:val="32"/>
          <w:szCs w:val="32"/>
        </w:rPr>
        <w:t>类</w:t>
      </w:r>
      <w:r>
        <w:rPr>
          <w:rFonts w:ascii="Times New Roman" w:eastAsia="仿宋_GB2312" w:hAnsi="Times New Roman"/>
          <w:sz w:val="32"/>
          <w:szCs w:val="32"/>
        </w:rPr>
        <w:t>A</w:t>
      </w:r>
      <w:r>
        <w:rPr>
          <w:rFonts w:ascii="Times New Roman" w:eastAsia="仿宋_GB2312" w:hAnsi="Times New Roman"/>
          <w:sz w:val="32"/>
          <w:szCs w:val="32"/>
        </w:rPr>
        <w:t>级及以上；风险管理子公司所在期货公司最近一年分类评级在</w:t>
      </w:r>
      <w:r>
        <w:rPr>
          <w:rFonts w:ascii="Times New Roman" w:eastAsia="仿宋_GB2312" w:hAnsi="Times New Roman"/>
          <w:sz w:val="32"/>
          <w:szCs w:val="32"/>
        </w:rPr>
        <w:t>B</w:t>
      </w:r>
      <w:r>
        <w:rPr>
          <w:rFonts w:ascii="Times New Roman" w:eastAsia="仿宋_GB2312" w:hAnsi="Times New Roman"/>
          <w:sz w:val="32"/>
          <w:szCs w:val="32"/>
        </w:rPr>
        <w:t>类</w:t>
      </w:r>
      <w:r>
        <w:rPr>
          <w:rFonts w:ascii="Times New Roman" w:eastAsia="仿宋_GB2312" w:hAnsi="Times New Roman"/>
          <w:sz w:val="32"/>
          <w:szCs w:val="32"/>
        </w:rPr>
        <w:t>B</w:t>
      </w:r>
      <w:r>
        <w:rPr>
          <w:rFonts w:ascii="Times New Roman" w:eastAsia="仿宋_GB2312" w:hAnsi="Times New Roman"/>
          <w:sz w:val="32"/>
          <w:szCs w:val="32"/>
        </w:rPr>
        <w:t>级及以上；</w:t>
      </w:r>
    </w:p>
    <w:p w:rsidR="00E705A4" w:rsidRDefault="00E705A4" w:rsidP="00E705A4">
      <w:pPr>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（三）具有健全的内部控制、风险管理和场外衍生品业务实施方案；</w:t>
      </w:r>
    </w:p>
    <w:p w:rsidR="00E705A4" w:rsidRDefault="00E705A4" w:rsidP="00E705A4">
      <w:pPr>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（四）最近一年无重大违法违规记录；</w:t>
      </w:r>
    </w:p>
    <w:p w:rsidR="00E705A4" w:rsidRDefault="00E705A4" w:rsidP="00E705A4">
      <w:pPr>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（五）交易所要求的其他条件。</w:t>
      </w:r>
    </w:p>
    <w:p w:rsidR="00E705A4" w:rsidRDefault="00E705A4" w:rsidP="00E705A4">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 xml:space="preserve"> 申请成为交易商应当提交以下书面材料，并确保提交材料真实、准确、完整：</w:t>
      </w:r>
    </w:p>
    <w:p w:rsidR="00E705A4" w:rsidRDefault="00E705A4" w:rsidP="00E705A4">
      <w:pPr>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（一）营业执照复印件；</w:t>
      </w:r>
    </w:p>
    <w:p w:rsidR="00E705A4" w:rsidRDefault="00E705A4" w:rsidP="00E705A4">
      <w:pPr>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（二）最近一年的企业年度报告和审计报告；</w:t>
      </w:r>
    </w:p>
    <w:p w:rsidR="00E705A4" w:rsidRDefault="00E705A4" w:rsidP="00E705A4">
      <w:pPr>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（三）场外衍生品业务相关实施方案和管理流程；</w:t>
      </w:r>
    </w:p>
    <w:p w:rsidR="00E705A4" w:rsidRDefault="00E705A4" w:rsidP="00E705A4">
      <w:pPr>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（四）最近一年无重大违法违规记录承诺书；</w:t>
      </w:r>
    </w:p>
    <w:p w:rsidR="00E705A4" w:rsidRDefault="00E705A4" w:rsidP="00E705A4">
      <w:pPr>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（五）综合服务平台用户开户申请表；</w:t>
      </w:r>
    </w:p>
    <w:p w:rsidR="00E705A4" w:rsidRDefault="00E705A4" w:rsidP="00E705A4">
      <w:pPr>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（六）企业法定代表人的身份证明文件；</w:t>
      </w:r>
    </w:p>
    <w:p w:rsidR="00E705A4" w:rsidRDefault="00E705A4" w:rsidP="00E705A4">
      <w:pPr>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（七）法人的授权书及经办人员的身份证明文件；</w:t>
      </w:r>
    </w:p>
    <w:p w:rsidR="00E705A4" w:rsidRDefault="00E705A4" w:rsidP="00E705A4">
      <w:pPr>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（八）交易所要求的其他材料。</w:t>
      </w:r>
    </w:p>
    <w:p w:rsidR="00E705A4" w:rsidRDefault="00E705A4" w:rsidP="00E705A4">
      <w:pPr>
        <w:spacing w:line="580" w:lineRule="exact"/>
        <w:ind w:firstLineChars="221" w:firstLine="707"/>
        <w:jc w:val="left"/>
        <w:rPr>
          <w:rFonts w:eastAsia="仿宋_GB2312"/>
        </w:rPr>
      </w:pPr>
      <w:r>
        <w:rPr>
          <w:rFonts w:ascii="Times New Roman" w:eastAsia="仿宋_GB2312" w:hAnsi="Times New Roman" w:hint="eastAsia"/>
          <w:sz w:val="32"/>
          <w:szCs w:val="32"/>
        </w:rPr>
        <w:t>交易所场外会员、期货保证金指定存管银行申请成为交易商的，免于提交上述第（一）、（二）、（四）、（六）、（七）项规定的材料。</w:t>
      </w:r>
      <w:r>
        <w:rPr>
          <w:rFonts w:eastAsia="仿宋_GB2312" w:hint="eastAsia"/>
          <w:sz w:val="32"/>
          <w:szCs w:val="32"/>
        </w:rPr>
        <w:t>以上材料均须加盖申请主体公章。</w:t>
      </w:r>
    </w:p>
    <w:p w:rsidR="00E705A4" w:rsidRDefault="00E705A4" w:rsidP="00E705A4">
      <w:pPr>
        <w:pStyle w:val="1"/>
        <w:numPr>
          <w:ilvl w:val="0"/>
          <w:numId w:val="2"/>
        </w:numPr>
        <w:tabs>
          <w:tab w:val="left" w:pos="1620"/>
          <w:tab w:val="left" w:pos="1800"/>
        </w:tabs>
        <w:spacing w:line="580" w:lineRule="exact"/>
        <w:ind w:left="0" w:firstLine="640"/>
        <w:rPr>
          <w:rFonts w:eastAsia="仿宋_GB2312"/>
          <w:sz w:val="32"/>
          <w:szCs w:val="32"/>
        </w:rPr>
      </w:pPr>
      <w:r>
        <w:rPr>
          <w:rFonts w:ascii="仿宋_GB2312" w:eastAsia="仿宋_GB2312" w:hAnsi="仿宋" w:hint="eastAsia"/>
          <w:sz w:val="32"/>
          <w:szCs w:val="32"/>
        </w:rPr>
        <w:lastRenderedPageBreak/>
        <w:t>交易商提交的书面材料经审核通过后，应当与交易所签署《大连商品交易所场外衍生品交易商协议》及《风险揭示书》，明确双方的权利和义务，并缴存协议约定的结算准备金。交易商应当按照交易所业务规则以及协议，履行相关义务</w:t>
      </w:r>
      <w:r>
        <w:rPr>
          <w:rFonts w:eastAsia="仿宋_GB2312" w:hint="eastAsia"/>
          <w:sz w:val="32"/>
          <w:szCs w:val="32"/>
        </w:rPr>
        <w:t>。</w:t>
      </w:r>
    </w:p>
    <w:p w:rsidR="00E705A4" w:rsidRDefault="00E705A4" w:rsidP="00E705A4">
      <w:pPr>
        <w:numPr>
          <w:ilvl w:val="255"/>
          <w:numId w:val="0"/>
        </w:numPr>
        <w:adjustRightInd w:val="0"/>
        <w:snapToGrid w:val="0"/>
        <w:spacing w:line="580" w:lineRule="exact"/>
        <w:ind w:firstLine="640"/>
        <w:rPr>
          <w:rFonts w:ascii="Times New Roman" w:eastAsia="仿宋_GB2312" w:hAnsi="Times New Roman"/>
          <w:sz w:val="32"/>
          <w:szCs w:val="32"/>
        </w:rPr>
      </w:pPr>
      <w:r>
        <w:rPr>
          <w:rFonts w:ascii="Times New Roman" w:eastAsia="仿宋_GB2312" w:hAnsi="Times New Roman" w:hint="eastAsia"/>
          <w:sz w:val="32"/>
          <w:szCs w:val="32"/>
        </w:rPr>
        <w:t>获得交易所场外会员资格的产业企业成为交易商后，只得开展其所属品种板块内相关品种的场外衍生品业务。</w:t>
      </w:r>
    </w:p>
    <w:p w:rsidR="00E705A4" w:rsidRDefault="00E705A4" w:rsidP="00E705A4">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交易</w:t>
      </w:r>
      <w:proofErr w:type="gramStart"/>
      <w:r>
        <w:rPr>
          <w:rFonts w:ascii="仿宋_GB2312" w:eastAsia="仿宋_GB2312" w:hAnsi="仿宋" w:hint="eastAsia"/>
          <w:sz w:val="32"/>
          <w:szCs w:val="32"/>
        </w:rPr>
        <w:t>商存在</w:t>
      </w:r>
      <w:proofErr w:type="gramEnd"/>
      <w:r>
        <w:rPr>
          <w:rFonts w:ascii="仿宋_GB2312" w:eastAsia="仿宋_GB2312" w:hAnsi="仿宋" w:hint="eastAsia"/>
          <w:sz w:val="32"/>
          <w:szCs w:val="32"/>
        </w:rPr>
        <w:t>下列情形之一的，交易所有权取消其交易商资格并向市场公告：</w:t>
      </w:r>
    </w:p>
    <w:p w:rsidR="00E705A4" w:rsidRDefault="00E705A4" w:rsidP="00E705A4">
      <w:pPr>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（一）两个自然年度内未在交易所综合服务平台开展场外衍生品业务；</w:t>
      </w:r>
    </w:p>
    <w:p w:rsidR="00E705A4" w:rsidRDefault="00E705A4" w:rsidP="00E705A4">
      <w:pPr>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（二）不再满足本办法第六条规定的交易商条件；</w:t>
      </w:r>
    </w:p>
    <w:p w:rsidR="00E705A4" w:rsidRDefault="00E705A4" w:rsidP="00E705A4">
      <w:pPr>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（三）存在重大违法违规行为；</w:t>
      </w:r>
    </w:p>
    <w:p w:rsidR="00E705A4" w:rsidRDefault="00E705A4" w:rsidP="00E705A4">
      <w:pPr>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（四）依法被收购、兼并、撤销、解散或者宣告破产；</w:t>
      </w:r>
    </w:p>
    <w:p w:rsidR="00E705A4" w:rsidRDefault="00E705A4" w:rsidP="00E705A4">
      <w:pPr>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（五）向交易所提交虚假材料；</w:t>
      </w:r>
    </w:p>
    <w:p w:rsidR="00E705A4" w:rsidRDefault="00E705A4" w:rsidP="00E705A4">
      <w:pPr>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（六）本办法规定、交易所认定或协议约定的其他情形。</w:t>
      </w:r>
    </w:p>
    <w:p w:rsidR="00E705A4" w:rsidRDefault="00E705A4" w:rsidP="00E705A4">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交易商放弃交易商资格，应当提前一个月向交易所申请并经交易所同意。</w:t>
      </w:r>
    </w:p>
    <w:p w:rsidR="00E705A4" w:rsidRDefault="00E705A4" w:rsidP="00E705A4">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交易商放弃或被取消资格的，自交易所通知失去资格之日起，一年内交易所不再受理其交易商资格申请。</w:t>
      </w:r>
    </w:p>
    <w:p w:rsidR="00E705A4" w:rsidRDefault="00E705A4" w:rsidP="00E705A4">
      <w:pPr>
        <w:spacing w:beforeLines="50" w:before="156" w:afterLines="50" w:after="156" w:line="580" w:lineRule="exact"/>
        <w:jc w:val="center"/>
        <w:rPr>
          <w:rFonts w:ascii="黑体" w:eastAsia="黑体" w:hAnsi="黑体"/>
          <w:sz w:val="32"/>
          <w:szCs w:val="32"/>
        </w:rPr>
      </w:pPr>
      <w:r>
        <w:rPr>
          <w:rFonts w:ascii="黑体" w:eastAsia="黑体" w:hAnsi="黑体" w:hint="eastAsia"/>
          <w:sz w:val="32"/>
          <w:szCs w:val="32"/>
        </w:rPr>
        <w:t>第三章 交易与报价服务</w:t>
      </w:r>
    </w:p>
    <w:p w:rsidR="00E705A4" w:rsidRDefault="00E705A4" w:rsidP="00E705A4">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交易商和客户开展场外衍生品业务前，应当与客</w:t>
      </w:r>
      <w:r>
        <w:rPr>
          <w:rFonts w:ascii="仿宋_GB2312" w:eastAsia="仿宋_GB2312" w:hAnsi="仿宋" w:hint="eastAsia"/>
          <w:sz w:val="32"/>
          <w:szCs w:val="32"/>
        </w:rPr>
        <w:lastRenderedPageBreak/>
        <w:t>户签署相关场外衍生品交易主协议及补充协议，并按照相关监管要求对客户进行适当性审查、资信审查及反洗钱审查等必要工作，确保客户真实、合</w:t>
      </w:r>
      <w:proofErr w:type="gramStart"/>
      <w:r>
        <w:rPr>
          <w:rFonts w:ascii="仿宋_GB2312" w:eastAsia="仿宋_GB2312" w:hAnsi="仿宋" w:hint="eastAsia"/>
          <w:sz w:val="32"/>
          <w:szCs w:val="32"/>
        </w:rPr>
        <w:t>规</w:t>
      </w:r>
      <w:proofErr w:type="gramEnd"/>
      <w:r>
        <w:rPr>
          <w:rFonts w:ascii="仿宋_GB2312" w:eastAsia="仿宋_GB2312" w:hAnsi="仿宋" w:hint="eastAsia"/>
          <w:sz w:val="32"/>
          <w:szCs w:val="32"/>
        </w:rPr>
        <w:t>。</w:t>
      </w:r>
    </w:p>
    <w:p w:rsidR="00E705A4" w:rsidRDefault="00E705A4" w:rsidP="00E705A4">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交易商应在交易所综合服务平台申请交易编码开展场外衍生品业务，不得使用该交易编码或身份在平台以外开展业务，或从事与场外衍生品业务无关的其他交易。</w:t>
      </w:r>
    </w:p>
    <w:p w:rsidR="00E705A4" w:rsidRDefault="00E705A4" w:rsidP="00E705A4">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交易商应当在场外衍生品业务中向客户提供报价服务，报价服务包括以下类型：</w:t>
      </w:r>
    </w:p>
    <w:p w:rsidR="00E705A4" w:rsidRDefault="00E705A4" w:rsidP="00E705A4">
      <w:pPr>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（一）回应报价。在交易时间内，交易商可以根据客户需求，与客户协商确定合约条款，并为客户提供回应报价服务；</w:t>
      </w:r>
    </w:p>
    <w:p w:rsidR="00E705A4" w:rsidRDefault="00E705A4" w:rsidP="00E705A4">
      <w:pPr>
        <w:adjustRightInd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（二）主动报价。在交易时间内，交易商可以向交易所申请开展主动报价服务。经交易所审批后，交易商可以向客户发布场外衍生品合约信息及交易价格信息。</w:t>
      </w:r>
    </w:p>
    <w:p w:rsidR="00E705A4" w:rsidRDefault="00E705A4" w:rsidP="00E705A4">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交易商可以向交易所提交《场外衍生品交易商信用额度申请确认书》，为其客户申请信用额度，该信用额度仅用于交易商与该客户之间的场外衍生品交易，交易商需为此承担相应信用风险。</w:t>
      </w:r>
    </w:p>
    <w:p w:rsidR="00E705A4" w:rsidRDefault="00E705A4" w:rsidP="00E705A4">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交易商应当审慎控制持仓规模，确保风险可控。</w:t>
      </w:r>
    </w:p>
    <w:p w:rsidR="00E705A4" w:rsidRDefault="00E705A4" w:rsidP="00E705A4">
      <w:pPr>
        <w:spacing w:beforeLines="50" w:before="156" w:afterLines="50" w:after="156" w:line="580" w:lineRule="exact"/>
        <w:jc w:val="center"/>
        <w:rPr>
          <w:rFonts w:ascii="黑体" w:eastAsia="黑体" w:hAnsi="黑体"/>
          <w:sz w:val="32"/>
          <w:szCs w:val="32"/>
        </w:rPr>
      </w:pPr>
      <w:r>
        <w:rPr>
          <w:rFonts w:ascii="黑体" w:eastAsia="黑体" w:hAnsi="黑体" w:hint="eastAsia"/>
          <w:sz w:val="32"/>
          <w:szCs w:val="32"/>
        </w:rPr>
        <w:t>第四章 产业服务项目主体交易商资格管理</w:t>
      </w:r>
    </w:p>
    <w:p w:rsidR="00E705A4" w:rsidRDefault="00E705A4" w:rsidP="00E705A4">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产业服务项目，指“大商所农保计划”、“大商所企风计划”及交易所认可的其他项目。产业服务项目主体（以下</w:t>
      </w:r>
      <w:r>
        <w:rPr>
          <w:rFonts w:ascii="仿宋_GB2312" w:eastAsia="仿宋_GB2312" w:hAnsi="仿宋" w:hint="eastAsia"/>
          <w:sz w:val="32"/>
          <w:szCs w:val="32"/>
        </w:rPr>
        <w:lastRenderedPageBreak/>
        <w:t>简称项目主体），指获得产业服务项目立项或备案资格的主体。</w:t>
      </w:r>
    </w:p>
    <w:p w:rsidR="00E705A4" w:rsidRDefault="00E705A4" w:rsidP="00E705A4">
      <w:pPr>
        <w:pStyle w:val="1"/>
        <w:numPr>
          <w:ilvl w:val="0"/>
          <w:numId w:val="2"/>
        </w:numPr>
        <w:tabs>
          <w:tab w:val="left" w:pos="1620"/>
          <w:tab w:val="left" w:pos="1800"/>
        </w:tabs>
        <w:spacing w:line="580" w:lineRule="exact"/>
        <w:ind w:left="0" w:firstLineChars="0" w:firstLine="640"/>
        <w:rPr>
          <w:rFonts w:ascii="仿宋_GB2312" w:eastAsia="仿宋_GB2312" w:hAnsi="仿宋"/>
          <w:sz w:val="32"/>
          <w:szCs w:val="32"/>
        </w:rPr>
      </w:pPr>
      <w:r>
        <w:rPr>
          <w:rFonts w:ascii="仿宋_GB2312" w:eastAsia="仿宋_GB2312" w:hAnsi="仿宋" w:hint="eastAsia"/>
          <w:sz w:val="32"/>
          <w:szCs w:val="32"/>
        </w:rPr>
        <w:t>项目主体通过场外衍生品业务运行项目，应当申请获得交易商或客户资格，与交易所签订协议并开户。</w:t>
      </w:r>
    </w:p>
    <w:p w:rsidR="00E705A4" w:rsidRDefault="00E705A4" w:rsidP="00E705A4">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不符合交易</w:t>
      </w:r>
      <w:proofErr w:type="gramStart"/>
      <w:r>
        <w:rPr>
          <w:rFonts w:ascii="仿宋_GB2312" w:eastAsia="仿宋_GB2312" w:hAnsi="仿宋" w:hint="eastAsia"/>
          <w:sz w:val="32"/>
          <w:szCs w:val="32"/>
        </w:rPr>
        <w:t>商条件</w:t>
      </w:r>
      <w:proofErr w:type="gramEnd"/>
      <w:r>
        <w:rPr>
          <w:rFonts w:ascii="仿宋_GB2312" w:eastAsia="仿宋_GB2312" w:hAnsi="仿宋" w:hint="eastAsia"/>
          <w:sz w:val="32"/>
          <w:szCs w:val="32"/>
        </w:rPr>
        <w:t>的项目主体，可向交易所申请豁免部分条件，交易所同意后，获得交易商资格。</w:t>
      </w:r>
    </w:p>
    <w:p w:rsidR="00E705A4" w:rsidRDefault="00E705A4" w:rsidP="00E705A4">
      <w:pPr>
        <w:pStyle w:val="1"/>
        <w:numPr>
          <w:ilvl w:val="0"/>
          <w:numId w:val="2"/>
        </w:numPr>
        <w:tabs>
          <w:tab w:val="left" w:pos="1620"/>
          <w:tab w:val="left" w:pos="1800"/>
        </w:tabs>
        <w:spacing w:line="580" w:lineRule="exact"/>
        <w:ind w:left="0" w:firstLineChars="0" w:firstLine="640"/>
        <w:rPr>
          <w:rFonts w:ascii="仿宋_GB2312" w:eastAsia="仿宋_GB2312" w:hAnsi="仿宋"/>
          <w:sz w:val="32"/>
          <w:szCs w:val="32"/>
        </w:rPr>
      </w:pPr>
      <w:r>
        <w:rPr>
          <w:rFonts w:ascii="仿宋_GB2312" w:eastAsia="仿宋_GB2312" w:hAnsi="仿宋" w:hint="eastAsia"/>
          <w:sz w:val="32"/>
          <w:szCs w:val="32"/>
        </w:rPr>
        <w:t>豁免部分条件后获得交易商资格的项目主体，只限</w:t>
      </w:r>
      <w:proofErr w:type="gramStart"/>
      <w:r>
        <w:rPr>
          <w:rFonts w:ascii="仿宋_GB2312" w:eastAsia="仿宋_GB2312" w:hAnsi="仿宋" w:hint="eastAsia"/>
          <w:sz w:val="32"/>
          <w:szCs w:val="32"/>
        </w:rPr>
        <w:t>于开展</w:t>
      </w:r>
      <w:proofErr w:type="gramEnd"/>
      <w:r>
        <w:rPr>
          <w:rFonts w:ascii="仿宋_GB2312" w:eastAsia="仿宋_GB2312" w:hAnsi="仿宋" w:hint="eastAsia"/>
          <w:sz w:val="32"/>
          <w:szCs w:val="32"/>
        </w:rPr>
        <w:t>产业服务项目范围内的场外衍生品业务。</w:t>
      </w:r>
    </w:p>
    <w:p w:rsidR="00E705A4" w:rsidRDefault="00E705A4" w:rsidP="00E705A4">
      <w:pPr>
        <w:pStyle w:val="1"/>
        <w:numPr>
          <w:ilvl w:val="0"/>
          <w:numId w:val="2"/>
        </w:numPr>
        <w:tabs>
          <w:tab w:val="left" w:pos="1620"/>
          <w:tab w:val="left" w:pos="1800"/>
        </w:tabs>
        <w:spacing w:line="580" w:lineRule="exact"/>
        <w:ind w:left="0" w:firstLineChars="0" w:firstLine="640"/>
        <w:rPr>
          <w:rFonts w:ascii="仿宋_GB2312" w:eastAsia="仿宋_GB2312" w:hAnsi="仿宋"/>
          <w:sz w:val="32"/>
          <w:szCs w:val="32"/>
        </w:rPr>
      </w:pPr>
      <w:r>
        <w:rPr>
          <w:rFonts w:ascii="仿宋_GB2312" w:eastAsia="仿宋_GB2312" w:hAnsi="仿宋" w:hint="eastAsia"/>
          <w:sz w:val="32"/>
          <w:szCs w:val="32"/>
        </w:rPr>
        <w:t>对于豁免部分条件后获得交易商资格的项目主体，发生如下情形的，交易所有权取消其交易商资格：</w:t>
      </w:r>
    </w:p>
    <w:p w:rsidR="00E705A4" w:rsidRPr="00135E94" w:rsidRDefault="00E705A4" w:rsidP="00E705A4">
      <w:pPr>
        <w:pStyle w:val="1"/>
        <w:numPr>
          <w:ilvl w:val="0"/>
          <w:numId w:val="1"/>
        </w:numPr>
        <w:tabs>
          <w:tab w:val="left" w:pos="1620"/>
          <w:tab w:val="left" w:pos="1800"/>
        </w:tabs>
        <w:spacing w:line="580" w:lineRule="exact"/>
        <w:ind w:firstLineChars="177" w:firstLine="566"/>
        <w:rPr>
          <w:rFonts w:ascii="仿宋_GB2312" w:eastAsia="仿宋_GB2312" w:hAnsi="仿宋"/>
          <w:sz w:val="32"/>
          <w:szCs w:val="32"/>
        </w:rPr>
      </w:pPr>
      <w:r w:rsidRPr="00135E94">
        <w:rPr>
          <w:rFonts w:ascii="仿宋_GB2312" w:eastAsia="仿宋_GB2312" w:hAnsi="仿宋" w:hint="eastAsia"/>
          <w:sz w:val="32"/>
          <w:szCs w:val="32"/>
        </w:rPr>
        <w:t>未经交易所允许，开展</w:t>
      </w:r>
      <w:r>
        <w:rPr>
          <w:rFonts w:ascii="仿宋_GB2312" w:eastAsia="仿宋_GB2312" w:hAnsi="仿宋" w:hint="eastAsia"/>
          <w:sz w:val="32"/>
          <w:szCs w:val="32"/>
        </w:rPr>
        <w:t>产业服务项目范围外</w:t>
      </w:r>
      <w:r w:rsidRPr="00135E94">
        <w:rPr>
          <w:rFonts w:ascii="仿宋_GB2312" w:eastAsia="仿宋_GB2312" w:hAnsi="仿宋" w:hint="eastAsia"/>
          <w:sz w:val="32"/>
          <w:szCs w:val="32"/>
        </w:rPr>
        <w:t>场外衍生品业务的；</w:t>
      </w:r>
    </w:p>
    <w:p w:rsidR="00E705A4" w:rsidRDefault="00E705A4" w:rsidP="00E705A4">
      <w:pPr>
        <w:pStyle w:val="1"/>
        <w:numPr>
          <w:ilvl w:val="0"/>
          <w:numId w:val="1"/>
        </w:numPr>
        <w:tabs>
          <w:tab w:val="left" w:pos="1620"/>
          <w:tab w:val="left" w:pos="1800"/>
        </w:tabs>
        <w:spacing w:line="580" w:lineRule="exact"/>
        <w:ind w:left="640" w:firstLineChars="0" w:firstLine="0"/>
        <w:rPr>
          <w:rFonts w:ascii="仿宋_GB2312" w:eastAsia="仿宋_GB2312" w:hAnsi="仿宋"/>
          <w:sz w:val="32"/>
          <w:szCs w:val="32"/>
        </w:rPr>
      </w:pPr>
      <w:r>
        <w:rPr>
          <w:rFonts w:ascii="仿宋_GB2312" w:eastAsia="仿宋_GB2312" w:hAnsi="仿宋" w:hint="eastAsia"/>
          <w:sz w:val="32"/>
          <w:szCs w:val="32"/>
        </w:rPr>
        <w:t>产业服务项目运行结束的。</w:t>
      </w:r>
    </w:p>
    <w:p w:rsidR="00E705A4" w:rsidRDefault="00E705A4" w:rsidP="00E705A4">
      <w:pPr>
        <w:pStyle w:val="1"/>
        <w:numPr>
          <w:ilvl w:val="0"/>
          <w:numId w:val="2"/>
        </w:numPr>
        <w:tabs>
          <w:tab w:val="left" w:pos="1620"/>
          <w:tab w:val="left" w:pos="1800"/>
        </w:tabs>
        <w:spacing w:line="580" w:lineRule="exact"/>
        <w:ind w:left="0" w:firstLineChars="0" w:firstLine="640"/>
        <w:rPr>
          <w:rFonts w:ascii="仿宋_GB2312" w:eastAsia="仿宋_GB2312" w:hAnsi="仿宋"/>
          <w:sz w:val="32"/>
          <w:szCs w:val="32"/>
        </w:rPr>
      </w:pPr>
      <w:r>
        <w:rPr>
          <w:rFonts w:ascii="仿宋_GB2312" w:eastAsia="仿宋_GB2312" w:hAnsi="仿宋" w:hint="eastAsia"/>
          <w:sz w:val="32"/>
          <w:szCs w:val="32"/>
        </w:rPr>
        <w:t>项目主体交易商资格管理其他未涉及事项，按照本办法的相关规定执行。</w:t>
      </w:r>
    </w:p>
    <w:p w:rsidR="00E705A4" w:rsidRDefault="00E705A4" w:rsidP="00E705A4">
      <w:pPr>
        <w:numPr>
          <w:ilvl w:val="255"/>
          <w:numId w:val="0"/>
        </w:numPr>
        <w:spacing w:beforeLines="50" w:before="156" w:afterLines="50" w:after="156" w:line="580" w:lineRule="exact"/>
        <w:jc w:val="center"/>
        <w:rPr>
          <w:rFonts w:ascii="黑体" w:eastAsia="黑体" w:hAnsi="黑体"/>
          <w:sz w:val="32"/>
          <w:szCs w:val="32"/>
        </w:rPr>
      </w:pPr>
      <w:r>
        <w:rPr>
          <w:rFonts w:ascii="黑体" w:eastAsia="黑体" w:hAnsi="黑体" w:hint="eastAsia"/>
          <w:sz w:val="32"/>
          <w:szCs w:val="32"/>
        </w:rPr>
        <w:t>第五章 监督管理</w:t>
      </w:r>
    </w:p>
    <w:p w:rsidR="00E705A4" w:rsidRDefault="00E705A4" w:rsidP="00E705A4">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交易所按照本办法及交易所相关业务规则对交易商进行监督，交易商及其相关机构应当积极配合交易所监督。</w:t>
      </w:r>
    </w:p>
    <w:p w:rsidR="00E705A4" w:rsidRDefault="00E705A4" w:rsidP="00E705A4">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对于提供回应报价和主动报价服务的交易商应当依据市场情况合理报价，为市场提供真实、有效的报价服务，不得利用交易商资格进行虚假交易、内幕交易、市场操纵、</w:t>
      </w:r>
      <w:r>
        <w:rPr>
          <w:rFonts w:ascii="仿宋_GB2312" w:eastAsia="仿宋_GB2312" w:hAnsi="仿宋" w:hint="eastAsia"/>
          <w:sz w:val="32"/>
          <w:szCs w:val="32"/>
        </w:rPr>
        <w:lastRenderedPageBreak/>
        <w:t>欺诈、洗钱和其他违法违规行为，或者牟取其他不正当利益。</w:t>
      </w:r>
    </w:p>
    <w:p w:rsidR="00E705A4" w:rsidRDefault="00E705A4" w:rsidP="00E705A4">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交易所对交易商开展场外衍生品业务情况进行评价和评级管理，并可以将相关情况向市场进行公布。</w:t>
      </w:r>
    </w:p>
    <w:p w:rsidR="00E705A4" w:rsidRDefault="00E705A4" w:rsidP="00E705A4">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交易商的控股股东（合伙人）、经营场所、法定代表人、业务负责人及其联系方式等发生变化，以及财务状况和技术系统等发生重大变化时，应当自发生之日起3个期货交易日内向交易所书面报告。</w:t>
      </w:r>
    </w:p>
    <w:p w:rsidR="00E705A4" w:rsidRDefault="00E705A4" w:rsidP="00E705A4">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交易商应当按照交易所要求报告业务开展情况，妥善保存相关交易</w:t>
      </w:r>
      <w:proofErr w:type="gramStart"/>
      <w:r>
        <w:rPr>
          <w:rFonts w:ascii="仿宋_GB2312" w:eastAsia="仿宋_GB2312" w:hAnsi="仿宋" w:hint="eastAsia"/>
          <w:sz w:val="32"/>
          <w:szCs w:val="32"/>
        </w:rPr>
        <w:t>及风控记录</w:t>
      </w:r>
      <w:proofErr w:type="gramEnd"/>
      <w:r>
        <w:rPr>
          <w:rFonts w:ascii="仿宋_GB2312" w:eastAsia="仿宋_GB2312" w:hAnsi="仿宋" w:hint="eastAsia"/>
          <w:sz w:val="32"/>
          <w:szCs w:val="32"/>
        </w:rPr>
        <w:t>，以备核查。</w:t>
      </w:r>
    </w:p>
    <w:p w:rsidR="00E705A4" w:rsidRDefault="00E705A4" w:rsidP="00E705A4">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交易所可以对交易商的风险管理、交易行为、授信管理、系统运行以及经营、资信等情况进行监督和检查，交易商应当予以协助和配合。</w:t>
      </w:r>
    </w:p>
    <w:p w:rsidR="00E705A4" w:rsidRDefault="00E705A4" w:rsidP="00E705A4">
      <w:pPr>
        <w:spacing w:beforeLines="50" w:before="156" w:afterLines="50" w:after="156" w:line="580" w:lineRule="exact"/>
        <w:jc w:val="center"/>
        <w:rPr>
          <w:rFonts w:ascii="黑体" w:eastAsia="黑体" w:hAnsi="黑体"/>
          <w:sz w:val="32"/>
          <w:szCs w:val="32"/>
        </w:rPr>
      </w:pPr>
      <w:r>
        <w:rPr>
          <w:rFonts w:ascii="黑体" w:eastAsia="黑体" w:hAnsi="黑体" w:hint="eastAsia"/>
          <w:sz w:val="32"/>
          <w:szCs w:val="32"/>
        </w:rPr>
        <w:t>第六章 附则</w:t>
      </w:r>
    </w:p>
    <w:p w:rsidR="00E705A4" w:rsidRDefault="00E705A4" w:rsidP="00E705A4">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违反本办法规定的，交易所可以根据《大连商品交易所商品互换业务管理办法（试行）》、《大连商品交易所场外期权业务管理办法（试行）》及相关协议的有关规定处理。</w:t>
      </w:r>
    </w:p>
    <w:p w:rsidR="00E705A4" w:rsidRDefault="00E705A4" w:rsidP="00E705A4">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本办法解释权属于交易所。</w:t>
      </w:r>
    </w:p>
    <w:p w:rsidR="003931B0" w:rsidRPr="00163B25" w:rsidRDefault="00E705A4" w:rsidP="00E705A4">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sidRPr="00163B25">
        <w:rPr>
          <w:rFonts w:ascii="仿宋_GB2312" w:eastAsia="仿宋_GB2312" w:hAnsi="仿宋" w:hint="eastAsia"/>
          <w:sz w:val="32"/>
          <w:szCs w:val="32"/>
        </w:rPr>
        <w:t>本办法自</w:t>
      </w:r>
      <w:bookmarkStart w:id="0" w:name="_GoBack"/>
      <w:bookmarkEnd w:id="0"/>
      <w:r w:rsidRPr="00163B25">
        <w:rPr>
          <w:rFonts w:ascii="仿宋_GB2312" w:eastAsia="仿宋_GB2312" w:hAnsi="仿宋" w:hint="eastAsia"/>
          <w:sz w:val="32"/>
          <w:szCs w:val="32"/>
        </w:rPr>
        <w:t>公布之日起实施。</w:t>
      </w:r>
    </w:p>
    <w:sectPr w:rsidR="003931B0" w:rsidRPr="00163B25" w:rsidSect="005D24CD">
      <w:footerReference w:type="default" r:id="rId7"/>
      <w:pgSz w:w="11906" w:h="16838"/>
      <w:pgMar w:top="2098" w:right="1588" w:bottom="17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5A4" w:rsidRDefault="00E705A4" w:rsidP="00E705A4">
      <w:r>
        <w:separator/>
      </w:r>
    </w:p>
  </w:endnote>
  <w:endnote w:type="continuationSeparator" w:id="0">
    <w:p w:rsidR="00E705A4" w:rsidRDefault="00E705A4" w:rsidP="00E7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11534"/>
      <w:docPartObj>
        <w:docPartGallery w:val="Page Numbers (Bottom of Page)"/>
        <w:docPartUnique/>
      </w:docPartObj>
    </w:sdtPr>
    <w:sdtEndPr/>
    <w:sdtContent>
      <w:p w:rsidR="005D24CD" w:rsidRDefault="005D24CD" w:rsidP="005D24CD">
        <w:pPr>
          <w:pStyle w:val="a5"/>
          <w:jc w:val="center"/>
        </w:pPr>
        <w:r>
          <w:fldChar w:fldCharType="begin"/>
        </w:r>
        <w:r>
          <w:instrText>PAGE   \* MERGEFORMAT</w:instrText>
        </w:r>
        <w:r>
          <w:fldChar w:fldCharType="separate"/>
        </w:r>
        <w:r w:rsidR="00163B25" w:rsidRPr="00163B25">
          <w:rPr>
            <w:noProof/>
            <w:lang w:val="zh-CN"/>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5A4" w:rsidRDefault="00E705A4" w:rsidP="00E705A4">
      <w:r>
        <w:separator/>
      </w:r>
    </w:p>
  </w:footnote>
  <w:footnote w:type="continuationSeparator" w:id="0">
    <w:p w:rsidR="00E705A4" w:rsidRDefault="00E705A4" w:rsidP="00E70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DAAD16"/>
    <w:multiLevelType w:val="singleLevel"/>
    <w:tmpl w:val="9BDAAD16"/>
    <w:lvl w:ilvl="0">
      <w:start w:val="1"/>
      <w:numFmt w:val="chineseCounting"/>
      <w:suff w:val="nothing"/>
      <w:lvlText w:val="（%1）"/>
      <w:lvlJc w:val="left"/>
      <w:rPr>
        <w:rFonts w:hint="eastAsia"/>
      </w:rPr>
    </w:lvl>
  </w:abstractNum>
  <w:abstractNum w:abstractNumId="1" w15:restartNumberingAfterBreak="0">
    <w:nsid w:val="4BCF0DF2"/>
    <w:multiLevelType w:val="multilevel"/>
    <w:tmpl w:val="51795C7A"/>
    <w:lvl w:ilvl="0">
      <w:start w:val="1"/>
      <w:numFmt w:val="chineseCountingThousand"/>
      <w:lvlText w:val="第%1条 "/>
      <w:lvlJc w:val="left"/>
      <w:pPr>
        <w:ind w:left="4673" w:hanging="420"/>
      </w:pPr>
      <w:rPr>
        <w:rFonts w:ascii="仿宋_GB2312" w:eastAsia="仿宋_GB2312" w:hAnsi="黑体" w:cs="Times New Roman" w:hint="eastAsia"/>
        <w:b/>
        <w:color w:val="auto"/>
        <w:sz w:val="32"/>
        <w:szCs w:val="32"/>
        <w:lang w:val="en-US"/>
      </w:rPr>
    </w:lvl>
    <w:lvl w:ilvl="1">
      <w:start w:val="1"/>
      <w:numFmt w:val="lowerLetter"/>
      <w:lvlText w:val="%2)"/>
      <w:lvlJc w:val="left"/>
      <w:pPr>
        <w:ind w:left="8569" w:hanging="420"/>
      </w:pPr>
      <w:rPr>
        <w:rFonts w:cs="Times New Roman"/>
      </w:rPr>
    </w:lvl>
    <w:lvl w:ilvl="2">
      <w:start w:val="1"/>
      <w:numFmt w:val="lowerRoman"/>
      <w:lvlText w:val="%3."/>
      <w:lvlJc w:val="right"/>
      <w:pPr>
        <w:ind w:left="8989" w:hanging="420"/>
      </w:pPr>
      <w:rPr>
        <w:rFonts w:cs="Times New Roman"/>
      </w:rPr>
    </w:lvl>
    <w:lvl w:ilvl="3">
      <w:start w:val="1"/>
      <w:numFmt w:val="decimal"/>
      <w:lvlText w:val="%4."/>
      <w:lvlJc w:val="left"/>
      <w:pPr>
        <w:ind w:left="9409" w:hanging="420"/>
      </w:pPr>
      <w:rPr>
        <w:rFonts w:cs="Times New Roman"/>
      </w:rPr>
    </w:lvl>
    <w:lvl w:ilvl="4">
      <w:start w:val="1"/>
      <w:numFmt w:val="lowerLetter"/>
      <w:lvlText w:val="%5)"/>
      <w:lvlJc w:val="left"/>
      <w:pPr>
        <w:ind w:left="9829" w:hanging="420"/>
      </w:pPr>
      <w:rPr>
        <w:rFonts w:cs="Times New Roman"/>
      </w:rPr>
    </w:lvl>
    <w:lvl w:ilvl="5">
      <w:start w:val="1"/>
      <w:numFmt w:val="lowerRoman"/>
      <w:lvlText w:val="%6."/>
      <w:lvlJc w:val="right"/>
      <w:pPr>
        <w:ind w:left="10249" w:hanging="420"/>
      </w:pPr>
      <w:rPr>
        <w:rFonts w:cs="Times New Roman"/>
      </w:rPr>
    </w:lvl>
    <w:lvl w:ilvl="6">
      <w:start w:val="1"/>
      <w:numFmt w:val="decimal"/>
      <w:lvlText w:val="%7."/>
      <w:lvlJc w:val="left"/>
      <w:pPr>
        <w:ind w:left="10669" w:hanging="420"/>
      </w:pPr>
      <w:rPr>
        <w:rFonts w:cs="Times New Roman"/>
      </w:rPr>
    </w:lvl>
    <w:lvl w:ilvl="7">
      <w:start w:val="1"/>
      <w:numFmt w:val="lowerLetter"/>
      <w:lvlText w:val="%8)"/>
      <w:lvlJc w:val="left"/>
      <w:pPr>
        <w:ind w:left="11089" w:hanging="420"/>
      </w:pPr>
      <w:rPr>
        <w:rFonts w:cs="Times New Roman"/>
      </w:rPr>
    </w:lvl>
    <w:lvl w:ilvl="8">
      <w:start w:val="1"/>
      <w:numFmt w:val="lowerRoman"/>
      <w:lvlText w:val="%9."/>
      <w:lvlJc w:val="right"/>
      <w:pPr>
        <w:ind w:left="11509"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A9C"/>
    <w:rsid w:val="00163B25"/>
    <w:rsid w:val="003931B0"/>
    <w:rsid w:val="005D24CD"/>
    <w:rsid w:val="00BD5A9C"/>
    <w:rsid w:val="00E70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9F170"/>
  <w15:chartTrackingRefBased/>
  <w15:docId w15:val="{97460CC1-253E-46F0-9774-DE7B3E6A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仿宋_GB2312" w:hAnsi="Times New Roman" w:cs="Times New Roman"/>
        <w:dstrike/>
        <w:kern w:val="2"/>
        <w:sz w:val="32"/>
        <w:szCs w:val="3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5A4"/>
    <w:pPr>
      <w:widowControl w:val="0"/>
      <w:jc w:val="both"/>
    </w:pPr>
    <w:rPr>
      <w:rFonts w:ascii="等线" w:eastAsia="等线" w:hAnsi="等线"/>
      <w:dstrike w:val="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5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705A4"/>
    <w:rPr>
      <w:sz w:val="18"/>
      <w:szCs w:val="18"/>
    </w:rPr>
  </w:style>
  <w:style w:type="paragraph" w:styleId="a5">
    <w:name w:val="footer"/>
    <w:basedOn w:val="a"/>
    <w:link w:val="a6"/>
    <w:uiPriority w:val="99"/>
    <w:unhideWhenUsed/>
    <w:rsid w:val="00E705A4"/>
    <w:pPr>
      <w:tabs>
        <w:tab w:val="center" w:pos="4153"/>
        <w:tab w:val="right" w:pos="8306"/>
      </w:tabs>
      <w:snapToGrid w:val="0"/>
      <w:jc w:val="left"/>
    </w:pPr>
    <w:rPr>
      <w:sz w:val="18"/>
      <w:szCs w:val="18"/>
    </w:rPr>
  </w:style>
  <w:style w:type="character" w:customStyle="1" w:styleId="a6">
    <w:name w:val="页脚 字符"/>
    <w:basedOn w:val="a0"/>
    <w:link w:val="a5"/>
    <w:uiPriority w:val="99"/>
    <w:rsid w:val="00E705A4"/>
    <w:rPr>
      <w:sz w:val="18"/>
      <w:szCs w:val="18"/>
    </w:rPr>
  </w:style>
  <w:style w:type="paragraph" w:customStyle="1" w:styleId="1">
    <w:name w:val="列出段落1"/>
    <w:basedOn w:val="a"/>
    <w:uiPriority w:val="99"/>
    <w:qFormat/>
    <w:rsid w:val="00E705A4"/>
    <w:pPr>
      <w:ind w:firstLineChars="200" w:firstLine="420"/>
    </w:pPr>
    <w:rPr>
      <w:rFonts w:ascii="Times New Roman" w:eastAsia="宋体"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李伦</dc:creator>
  <cp:keywords/>
  <dc:description/>
  <cp:lastModifiedBy>王皓如</cp:lastModifiedBy>
  <cp:revision>4</cp:revision>
  <dcterms:created xsi:type="dcterms:W3CDTF">2021-06-30T01:23:00Z</dcterms:created>
  <dcterms:modified xsi:type="dcterms:W3CDTF">2021-06-30T03:08:00Z</dcterms:modified>
</cp:coreProperties>
</file>