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12" w:rsidRPr="00E31912" w:rsidRDefault="00E31912" w:rsidP="00E31912">
      <w:pPr>
        <w:widowControl/>
        <w:spacing w:before="100" w:beforeAutospacing="1" w:after="100" w:afterAutospacing="1" w:line="280" w:lineRule="atLeast"/>
        <w:jc w:val="left"/>
        <w:rPr>
          <w:rFonts w:ascii="Times New Roman" w:eastAsia="黑体" w:hAnsi="Times New Roman" w:cs="Times New Roman"/>
          <w:bCs/>
          <w:color w:val="333333"/>
          <w:kern w:val="0"/>
          <w:sz w:val="32"/>
          <w:szCs w:val="32"/>
          <w:shd w:val="clear" w:color="auto" w:fill="FFFFFF"/>
        </w:rPr>
      </w:pPr>
      <w:r w:rsidRPr="00E31912">
        <w:rPr>
          <w:rFonts w:ascii="Times New Roman" w:eastAsia="黑体" w:hAnsi="Times New Roman" w:cs="Times New Roman"/>
          <w:bCs/>
          <w:color w:val="333333"/>
          <w:kern w:val="0"/>
          <w:sz w:val="32"/>
          <w:szCs w:val="32"/>
          <w:shd w:val="clear" w:color="auto" w:fill="FFFFFF"/>
        </w:rPr>
        <w:t>附件</w:t>
      </w:r>
      <w:r w:rsidRPr="00E31912">
        <w:rPr>
          <w:rFonts w:ascii="Times New Roman" w:eastAsia="黑体" w:hAnsi="Times New Roman" w:cs="Times New Roman"/>
          <w:bCs/>
          <w:color w:val="333333"/>
          <w:kern w:val="0"/>
          <w:sz w:val="32"/>
          <w:szCs w:val="32"/>
          <w:shd w:val="clear" w:color="auto" w:fill="FFFFFF"/>
        </w:rPr>
        <w:t>4</w:t>
      </w:r>
    </w:p>
    <w:p w:rsidR="00E31912" w:rsidRPr="00E31912" w:rsidRDefault="00E31912" w:rsidP="00E31912">
      <w:pPr>
        <w:widowControl/>
        <w:spacing w:before="100" w:beforeAutospacing="1" w:after="100" w:afterAutospacing="1" w:line="280" w:lineRule="atLeast"/>
        <w:jc w:val="center"/>
        <w:rPr>
          <w:rFonts w:ascii="Times New Roman" w:eastAsia="宋体" w:hAnsi="Times New Roman" w:cs="Times New Roman"/>
          <w:b/>
          <w:color w:val="333333"/>
          <w:kern w:val="0"/>
          <w:sz w:val="44"/>
          <w:szCs w:val="44"/>
          <w:shd w:val="clear" w:color="auto" w:fill="FFFFFF"/>
        </w:rPr>
      </w:pPr>
      <w:r w:rsidRPr="00E31912">
        <w:rPr>
          <w:rFonts w:ascii="Times New Roman" w:eastAsia="宋体" w:hAnsi="Times New Roman" w:cs="Times New Roman"/>
          <w:b/>
          <w:color w:val="333333"/>
          <w:kern w:val="0"/>
          <w:sz w:val="44"/>
          <w:szCs w:val="44"/>
          <w:shd w:val="clear" w:color="auto" w:fill="FFFFFF"/>
        </w:rPr>
        <w:t>《大连商品交易所聚氯乙烯期货业务细则》</w:t>
      </w:r>
    </w:p>
    <w:p w:rsidR="00E31912" w:rsidRPr="00E31912" w:rsidRDefault="00E31912" w:rsidP="00E31912">
      <w:pPr>
        <w:widowControl/>
        <w:spacing w:before="100" w:beforeAutospacing="1" w:after="100" w:afterAutospacing="1" w:line="280" w:lineRule="atLeast"/>
        <w:jc w:val="center"/>
        <w:rPr>
          <w:rFonts w:ascii="Times New Roman" w:eastAsia="宋体" w:hAnsi="Times New Roman" w:cs="Times New Roman"/>
          <w:b/>
          <w:color w:val="333333"/>
          <w:kern w:val="0"/>
          <w:sz w:val="44"/>
          <w:szCs w:val="44"/>
        </w:rPr>
      </w:pPr>
      <w:r w:rsidRPr="00E31912">
        <w:rPr>
          <w:rFonts w:ascii="Times New Roman" w:eastAsia="宋体" w:hAnsi="Times New Roman" w:cs="Times New Roman"/>
          <w:b/>
          <w:color w:val="333333"/>
          <w:kern w:val="0"/>
          <w:sz w:val="44"/>
          <w:szCs w:val="44"/>
          <w:shd w:val="clear" w:color="auto" w:fill="FFFFFF"/>
        </w:rPr>
        <w:t>修正案</w:t>
      </w:r>
    </w:p>
    <w:p w:rsidR="00E31912" w:rsidRPr="00E31912" w:rsidRDefault="00E31912" w:rsidP="00E31912">
      <w:pPr>
        <w:spacing w:line="580" w:lineRule="exact"/>
        <w:ind w:firstLineChars="200" w:firstLine="640"/>
        <w:rPr>
          <w:rFonts w:ascii="Times New Roman" w:eastAsia="仿宋_GB2312" w:hAnsi="Times New Roman" w:cs="Times New Roman"/>
          <w:sz w:val="32"/>
          <w:szCs w:val="32"/>
        </w:rPr>
      </w:pPr>
    </w:p>
    <w:p w:rsidR="00E31912" w:rsidRPr="00E31912" w:rsidRDefault="00E31912" w:rsidP="00E31912">
      <w:pPr>
        <w:spacing w:line="580" w:lineRule="exact"/>
        <w:ind w:firstLineChars="200" w:firstLine="640"/>
        <w:rPr>
          <w:rFonts w:ascii="Times New Roman" w:eastAsia="仿宋_GB2312" w:hAnsi="Times New Roman" w:cs="Times New Roman"/>
          <w:sz w:val="32"/>
          <w:szCs w:val="32"/>
        </w:rPr>
      </w:pPr>
      <w:r w:rsidRPr="00E31912">
        <w:rPr>
          <w:rFonts w:ascii="Times New Roman" w:eastAsia="仿宋_GB2312" w:hAnsi="Times New Roman" w:cs="Times New Roman"/>
          <w:sz w:val="32"/>
          <w:szCs w:val="32"/>
        </w:rPr>
        <w:t>第十条</w:t>
      </w:r>
      <w:r w:rsidRPr="00E31912">
        <w:rPr>
          <w:rFonts w:ascii="Times New Roman" w:eastAsia="仿宋_GB2312" w:hAnsi="Times New Roman" w:cs="Times New Roman"/>
          <w:sz w:val="32"/>
          <w:szCs w:val="32"/>
        </w:rPr>
        <w:t xml:space="preserve"> </w:t>
      </w:r>
      <w:r w:rsidRPr="00E31912">
        <w:rPr>
          <w:rFonts w:ascii="Times New Roman" w:eastAsia="仿宋_GB2312" w:hAnsi="Times New Roman" w:cs="Times New Roman"/>
          <w:sz w:val="32"/>
          <w:szCs w:val="32"/>
        </w:rPr>
        <w:t>聚氯乙烯期货合约的最小变动价位为</w:t>
      </w:r>
      <w:r w:rsidRPr="00E31912">
        <w:rPr>
          <w:rFonts w:ascii="Times New Roman" w:eastAsia="仿宋_GB2312" w:hAnsi="Times New Roman" w:cs="Times New Roman"/>
          <w:sz w:val="32"/>
          <w:szCs w:val="32"/>
          <w:shd w:val="pct10" w:color="auto" w:fill="FFFFFF"/>
        </w:rPr>
        <w:t>1</w:t>
      </w:r>
      <w:r w:rsidRPr="00E31912">
        <w:rPr>
          <w:rFonts w:ascii="Times New Roman" w:eastAsia="仿宋_GB2312" w:hAnsi="Times New Roman" w:cs="Times New Roman"/>
          <w:dstrike/>
          <w:sz w:val="32"/>
          <w:szCs w:val="32"/>
        </w:rPr>
        <w:t>5</w:t>
      </w:r>
      <w:r w:rsidRPr="00E31912">
        <w:rPr>
          <w:rFonts w:ascii="Times New Roman" w:eastAsia="仿宋_GB2312" w:hAnsi="Times New Roman" w:cs="Times New Roman"/>
          <w:sz w:val="32"/>
          <w:szCs w:val="32"/>
        </w:rPr>
        <w:t>元</w:t>
      </w:r>
      <w:r w:rsidRPr="00E31912">
        <w:rPr>
          <w:rFonts w:ascii="Times New Roman" w:eastAsia="仿宋_GB2312" w:hAnsi="Times New Roman" w:cs="Times New Roman"/>
          <w:sz w:val="32"/>
          <w:szCs w:val="32"/>
        </w:rPr>
        <w:t>/</w:t>
      </w:r>
      <w:r w:rsidRPr="00E31912">
        <w:rPr>
          <w:rFonts w:ascii="Times New Roman" w:eastAsia="仿宋_GB2312" w:hAnsi="Times New Roman" w:cs="Times New Roman"/>
          <w:sz w:val="32"/>
          <w:szCs w:val="32"/>
        </w:rPr>
        <w:t>吨。</w:t>
      </w:r>
    </w:p>
    <w:p w:rsidR="00E31912" w:rsidRPr="00E31912" w:rsidRDefault="00E31912" w:rsidP="00E31912">
      <w:pPr>
        <w:spacing w:line="580" w:lineRule="exact"/>
        <w:ind w:firstLineChars="200" w:firstLine="640"/>
        <w:rPr>
          <w:rFonts w:ascii="Times New Roman" w:eastAsia="仿宋_GB2312" w:hAnsi="Times New Roman" w:cs="Times New Roman"/>
          <w:sz w:val="32"/>
          <w:szCs w:val="32"/>
        </w:rPr>
      </w:pPr>
    </w:p>
    <w:p w:rsidR="00E31912" w:rsidRPr="00E31912" w:rsidRDefault="00E31912" w:rsidP="00E31912">
      <w:pPr>
        <w:ind w:firstLineChars="200" w:firstLine="480"/>
        <w:jc w:val="left"/>
        <w:rPr>
          <w:rFonts w:ascii="Times New Roman" w:eastAsia="楷体_GB2312" w:hAnsi="Times New Roman" w:cs="Times New Roman"/>
          <w:sz w:val="24"/>
        </w:rPr>
      </w:pPr>
      <w:r w:rsidRPr="00E31912">
        <w:rPr>
          <w:rFonts w:ascii="Times New Roman" w:eastAsia="楷体_GB2312" w:hAnsi="Times New Roman" w:cs="Times New Roman"/>
          <w:sz w:val="24"/>
        </w:rPr>
        <w:t>注：阴影部分为新增内容，双划线部分为删除内容。</w:t>
      </w:r>
    </w:p>
    <w:p w:rsidR="00E31912" w:rsidRPr="00E31912" w:rsidRDefault="00E31912" w:rsidP="00E31912">
      <w:pPr>
        <w:rPr>
          <w:rFonts w:ascii="Times New Roman" w:eastAsia="宋体" w:hAnsi="Times New Roman" w:cs="Times New Roman"/>
        </w:rPr>
      </w:pPr>
    </w:p>
    <w:p w:rsidR="00E31912" w:rsidRDefault="00E31912">
      <w:pPr>
        <w:widowControl/>
        <w:jc w:val="left"/>
        <w:rPr>
          <w:rFonts w:ascii="Times New Roman" w:eastAsia="等线" w:hAnsi="Times New Roman" w:cs="Times New Roman"/>
          <w:b/>
          <w:color w:val="333333"/>
          <w:kern w:val="0"/>
          <w:sz w:val="44"/>
          <w:szCs w:val="44"/>
          <w:u w:val="single"/>
          <w:shd w:val="clear" w:color="auto" w:fill="FFFFFF"/>
        </w:rPr>
      </w:pPr>
      <w:r>
        <w:rPr>
          <w:rFonts w:ascii="Times New Roman" w:eastAsia="等线" w:hAnsi="Times New Roman" w:cs="Times New Roman"/>
          <w:b/>
          <w:color w:val="333333"/>
          <w:kern w:val="0"/>
          <w:sz w:val="44"/>
          <w:szCs w:val="44"/>
          <w:u w:val="single"/>
          <w:shd w:val="clear" w:color="auto" w:fill="FFFFFF"/>
        </w:rPr>
        <w:br w:type="page"/>
      </w:r>
      <w:bookmarkStart w:id="0" w:name="_GoBack"/>
      <w:bookmarkEnd w:id="0"/>
    </w:p>
    <w:p w:rsidR="00E31912" w:rsidRPr="00E31912" w:rsidRDefault="00E31912" w:rsidP="00E31912">
      <w:pPr>
        <w:widowControl/>
        <w:spacing w:before="100" w:beforeAutospacing="1" w:after="100" w:afterAutospacing="1" w:line="280" w:lineRule="atLeast"/>
        <w:jc w:val="center"/>
        <w:rPr>
          <w:rFonts w:ascii="Times New Roman" w:eastAsia="等线" w:hAnsi="Times New Roman" w:cs="Times New Roman"/>
          <w:b/>
          <w:color w:val="333333"/>
          <w:kern w:val="0"/>
          <w:sz w:val="44"/>
          <w:szCs w:val="44"/>
          <w:u w:val="single"/>
          <w:shd w:val="clear" w:color="auto" w:fill="FFFFFF"/>
        </w:rPr>
      </w:pPr>
    </w:p>
    <w:p w:rsidR="00E31912" w:rsidRPr="00E31912" w:rsidRDefault="00E31912" w:rsidP="00E31912">
      <w:pPr>
        <w:widowControl/>
        <w:spacing w:before="100" w:beforeAutospacing="1" w:after="100" w:afterAutospacing="1" w:line="280" w:lineRule="atLeast"/>
        <w:jc w:val="center"/>
        <w:rPr>
          <w:rFonts w:ascii="Times New Roman" w:eastAsia="宋体" w:hAnsi="Times New Roman" w:cs="Times New Roman"/>
          <w:b/>
          <w:color w:val="333333"/>
          <w:kern w:val="0"/>
          <w:sz w:val="44"/>
          <w:szCs w:val="44"/>
          <w:shd w:val="clear" w:color="auto" w:fill="FFFFFF"/>
        </w:rPr>
      </w:pPr>
      <w:r w:rsidRPr="00E31912">
        <w:rPr>
          <w:rFonts w:ascii="Times New Roman" w:eastAsia="宋体" w:hAnsi="Times New Roman" w:cs="Times New Roman"/>
          <w:b/>
          <w:color w:val="333333"/>
          <w:kern w:val="0"/>
          <w:sz w:val="44"/>
          <w:szCs w:val="44"/>
          <w:shd w:val="clear" w:color="auto" w:fill="FFFFFF"/>
        </w:rPr>
        <w:t>《大连商品交易所聚氯乙烯期货业务细则》</w:t>
      </w:r>
    </w:p>
    <w:p w:rsidR="00E31912" w:rsidRPr="00E31912" w:rsidRDefault="00E31912" w:rsidP="00E31912">
      <w:pPr>
        <w:widowControl/>
        <w:spacing w:before="100" w:beforeAutospacing="1" w:after="100" w:afterAutospacing="1" w:line="280" w:lineRule="atLeast"/>
        <w:jc w:val="center"/>
        <w:rPr>
          <w:rFonts w:ascii="Times New Roman" w:eastAsia="宋体" w:hAnsi="Times New Roman" w:cs="Times New Roman"/>
          <w:b/>
          <w:color w:val="333333"/>
          <w:kern w:val="0"/>
          <w:sz w:val="44"/>
          <w:szCs w:val="44"/>
          <w:shd w:val="clear" w:color="auto" w:fill="FFFFFF"/>
        </w:rPr>
      </w:pPr>
      <w:r w:rsidRPr="00E31912">
        <w:rPr>
          <w:rFonts w:ascii="Times New Roman" w:eastAsia="宋体" w:hAnsi="Times New Roman" w:cs="Times New Roman"/>
          <w:b/>
          <w:color w:val="333333"/>
          <w:kern w:val="0"/>
          <w:sz w:val="44"/>
          <w:szCs w:val="44"/>
          <w:shd w:val="clear" w:color="auto" w:fill="FFFFFF"/>
        </w:rPr>
        <w:t>修订稿</w:t>
      </w:r>
    </w:p>
    <w:p w:rsidR="00E31912" w:rsidRPr="00E31912" w:rsidRDefault="00E31912" w:rsidP="00E31912">
      <w:pPr>
        <w:shd w:val="clear" w:color="auto" w:fill="FFFFFF"/>
        <w:spacing w:before="100" w:beforeAutospacing="1" w:after="100" w:afterAutospacing="1"/>
        <w:jc w:val="center"/>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第一章</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总则</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第一条</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为规范大连商品交易所（以下简称交易所）聚氯乙烯期货合约交易行为，根据《大连商品交易所交易规则》和《大连商品交易所聚氯乙烯期货合约》，制定本细则。</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第二条</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交易所、会员、客户、指定交割仓库、指定质量检验机构、指定期货保证金存管银行及期货市场其他参与者应当遵守本细则。</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第三条</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本细则未规定的，按照交易所相关业务规则的规定执行。</w:t>
      </w:r>
    </w:p>
    <w:p w:rsidR="00E31912" w:rsidRPr="00E31912" w:rsidRDefault="00E31912" w:rsidP="00E31912">
      <w:pPr>
        <w:widowControl/>
        <w:shd w:val="clear" w:color="auto" w:fill="FFFFFF"/>
        <w:jc w:val="center"/>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第二章</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合约主要条款和相关参数</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第四条</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聚氯乙烯期货合约标准品为质量标准符合国家标准《悬浮法通用型聚氯乙烯树脂（</w:t>
      </w:r>
      <w:r w:rsidRPr="00E31912">
        <w:rPr>
          <w:rFonts w:ascii="Times New Roman" w:eastAsia="仿宋_GB2312" w:hAnsi="Times New Roman" w:cs="Times New Roman"/>
          <w:color w:val="333333"/>
          <w:kern w:val="0"/>
          <w:sz w:val="32"/>
          <w:szCs w:val="32"/>
        </w:rPr>
        <w:t>GB/T 5761-2018</w:t>
      </w:r>
      <w:r w:rsidRPr="00E31912">
        <w:rPr>
          <w:rFonts w:ascii="Times New Roman" w:eastAsia="仿宋_GB2312" w:hAnsi="Times New Roman" w:cs="Times New Roman"/>
          <w:color w:val="333333"/>
          <w:kern w:val="0"/>
          <w:sz w:val="32"/>
          <w:szCs w:val="32"/>
        </w:rPr>
        <w:t>）》的</w:t>
      </w:r>
      <w:r w:rsidRPr="00E31912">
        <w:rPr>
          <w:rFonts w:ascii="Times New Roman" w:eastAsia="仿宋_GB2312" w:hAnsi="Times New Roman" w:cs="Times New Roman"/>
          <w:color w:val="333333"/>
          <w:kern w:val="0"/>
          <w:sz w:val="32"/>
          <w:szCs w:val="32"/>
        </w:rPr>
        <w:t>SG5</w:t>
      </w:r>
      <w:r w:rsidRPr="00E31912">
        <w:rPr>
          <w:rFonts w:ascii="Times New Roman" w:eastAsia="仿宋_GB2312" w:hAnsi="Times New Roman" w:cs="Times New Roman"/>
          <w:color w:val="333333"/>
          <w:kern w:val="0"/>
          <w:sz w:val="32"/>
          <w:szCs w:val="32"/>
        </w:rPr>
        <w:t>型一等品（干流性指标不做要求）。优等品作为替代品允许交割，优等品和一等品之间不设等级升贴水。</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聚氯乙烯交割品应当是交易所公布的生产厂家生产的交割注册品牌的商品。满足交易所规定条件的品牌可以申请免检注</w:t>
      </w:r>
      <w:r w:rsidRPr="00E31912">
        <w:rPr>
          <w:rFonts w:ascii="Times New Roman" w:eastAsia="仿宋_GB2312" w:hAnsi="Times New Roman" w:cs="Times New Roman"/>
          <w:color w:val="333333"/>
          <w:kern w:val="0"/>
          <w:sz w:val="32"/>
          <w:szCs w:val="32"/>
        </w:rPr>
        <w:lastRenderedPageBreak/>
        <w:t>册品牌。交割注册品牌和免检注册品牌管理的办法由交易所另行规定。交割注册品牌、免检注册品牌、相关生产厂家以及品牌升贴水由交易所另行公布。</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聚氯乙烯期货合约品牌升贴水的差价款由货主同指定交割仓库结算。</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免检注册品牌的聚氯乙烯入库时，货主能够提供生产厂家出具的产品质量证明原件及交易所规定的其他材料的，可免于质量检验。产品质量证明应载有生产厂家、牌号、批号、签证日期、质量测试项目、质量测试结果和质量检验结论等信息。</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第五条</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聚氯乙烯期货合约采用实物交割。</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第六条</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聚氯乙烯指定交割仓库分为基准交割仓库和非基准交割仓库（详见附件《大连商品交易所聚氯乙烯指定交割仓库名录》），交易所可视情况对聚氯乙烯指定交割仓库进行调整。</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第七条</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聚氯乙烯期货合约的合约月份为</w:t>
      </w:r>
      <w:r w:rsidRPr="00E31912">
        <w:rPr>
          <w:rFonts w:ascii="Times New Roman" w:eastAsia="仿宋_GB2312" w:hAnsi="Times New Roman" w:cs="Times New Roman"/>
          <w:color w:val="333333"/>
          <w:kern w:val="0"/>
          <w:sz w:val="32"/>
          <w:szCs w:val="32"/>
        </w:rPr>
        <w:t>1</w:t>
      </w:r>
      <w:r w:rsidRPr="00E31912">
        <w:rPr>
          <w:rFonts w:ascii="Times New Roman" w:eastAsia="仿宋_GB2312" w:hAnsi="Times New Roman" w:cs="Times New Roman"/>
          <w:color w:val="333333"/>
          <w:kern w:val="0"/>
          <w:sz w:val="32"/>
          <w:szCs w:val="32"/>
        </w:rPr>
        <w:t>、</w:t>
      </w:r>
      <w:r w:rsidRPr="00E31912">
        <w:rPr>
          <w:rFonts w:ascii="Times New Roman" w:eastAsia="仿宋_GB2312" w:hAnsi="Times New Roman" w:cs="Times New Roman"/>
          <w:color w:val="333333"/>
          <w:kern w:val="0"/>
          <w:sz w:val="32"/>
          <w:szCs w:val="32"/>
        </w:rPr>
        <w:t>2</w:t>
      </w:r>
      <w:r w:rsidRPr="00E31912">
        <w:rPr>
          <w:rFonts w:ascii="Times New Roman" w:eastAsia="仿宋_GB2312" w:hAnsi="Times New Roman" w:cs="Times New Roman"/>
          <w:color w:val="333333"/>
          <w:kern w:val="0"/>
          <w:sz w:val="32"/>
          <w:szCs w:val="32"/>
        </w:rPr>
        <w:t>、</w:t>
      </w:r>
      <w:r w:rsidRPr="00E31912">
        <w:rPr>
          <w:rFonts w:ascii="Times New Roman" w:eastAsia="仿宋_GB2312" w:hAnsi="Times New Roman" w:cs="Times New Roman"/>
          <w:color w:val="333333"/>
          <w:kern w:val="0"/>
          <w:sz w:val="32"/>
          <w:szCs w:val="32"/>
        </w:rPr>
        <w:t>3</w:t>
      </w:r>
      <w:r w:rsidRPr="00E31912">
        <w:rPr>
          <w:rFonts w:ascii="Times New Roman" w:eastAsia="仿宋_GB2312" w:hAnsi="Times New Roman" w:cs="Times New Roman"/>
          <w:color w:val="333333"/>
          <w:kern w:val="0"/>
          <w:sz w:val="32"/>
          <w:szCs w:val="32"/>
        </w:rPr>
        <w:t>、</w:t>
      </w:r>
      <w:r w:rsidRPr="00E31912">
        <w:rPr>
          <w:rFonts w:ascii="Times New Roman" w:eastAsia="仿宋_GB2312" w:hAnsi="Times New Roman" w:cs="Times New Roman"/>
          <w:color w:val="333333"/>
          <w:kern w:val="0"/>
          <w:sz w:val="32"/>
          <w:szCs w:val="32"/>
        </w:rPr>
        <w:t>4</w:t>
      </w:r>
      <w:r w:rsidRPr="00E31912">
        <w:rPr>
          <w:rFonts w:ascii="Times New Roman" w:eastAsia="仿宋_GB2312" w:hAnsi="Times New Roman" w:cs="Times New Roman"/>
          <w:color w:val="333333"/>
          <w:kern w:val="0"/>
          <w:sz w:val="32"/>
          <w:szCs w:val="32"/>
        </w:rPr>
        <w:t>、</w:t>
      </w:r>
      <w:r w:rsidRPr="00E31912">
        <w:rPr>
          <w:rFonts w:ascii="Times New Roman" w:eastAsia="仿宋_GB2312" w:hAnsi="Times New Roman" w:cs="Times New Roman"/>
          <w:color w:val="333333"/>
          <w:kern w:val="0"/>
          <w:sz w:val="32"/>
          <w:szCs w:val="32"/>
        </w:rPr>
        <w:t>5</w:t>
      </w:r>
      <w:r w:rsidRPr="00E31912">
        <w:rPr>
          <w:rFonts w:ascii="Times New Roman" w:eastAsia="仿宋_GB2312" w:hAnsi="Times New Roman" w:cs="Times New Roman"/>
          <w:color w:val="333333"/>
          <w:kern w:val="0"/>
          <w:sz w:val="32"/>
          <w:szCs w:val="32"/>
        </w:rPr>
        <w:t>、</w:t>
      </w:r>
      <w:r w:rsidRPr="00E31912">
        <w:rPr>
          <w:rFonts w:ascii="Times New Roman" w:eastAsia="仿宋_GB2312" w:hAnsi="Times New Roman" w:cs="Times New Roman"/>
          <w:color w:val="333333"/>
          <w:kern w:val="0"/>
          <w:sz w:val="32"/>
          <w:szCs w:val="32"/>
        </w:rPr>
        <w:t>6</w:t>
      </w:r>
      <w:r w:rsidRPr="00E31912">
        <w:rPr>
          <w:rFonts w:ascii="Times New Roman" w:eastAsia="仿宋_GB2312" w:hAnsi="Times New Roman" w:cs="Times New Roman"/>
          <w:color w:val="333333"/>
          <w:kern w:val="0"/>
          <w:sz w:val="32"/>
          <w:szCs w:val="32"/>
        </w:rPr>
        <w:t>、</w:t>
      </w:r>
      <w:r w:rsidRPr="00E31912">
        <w:rPr>
          <w:rFonts w:ascii="Times New Roman" w:eastAsia="仿宋_GB2312" w:hAnsi="Times New Roman" w:cs="Times New Roman"/>
          <w:color w:val="333333"/>
          <w:kern w:val="0"/>
          <w:sz w:val="32"/>
          <w:szCs w:val="32"/>
        </w:rPr>
        <w:t>7</w:t>
      </w:r>
      <w:r w:rsidRPr="00E31912">
        <w:rPr>
          <w:rFonts w:ascii="Times New Roman" w:eastAsia="仿宋_GB2312" w:hAnsi="Times New Roman" w:cs="Times New Roman"/>
          <w:color w:val="333333"/>
          <w:kern w:val="0"/>
          <w:sz w:val="32"/>
          <w:szCs w:val="32"/>
        </w:rPr>
        <w:t>、</w:t>
      </w:r>
      <w:r w:rsidRPr="00E31912">
        <w:rPr>
          <w:rFonts w:ascii="Times New Roman" w:eastAsia="仿宋_GB2312" w:hAnsi="Times New Roman" w:cs="Times New Roman"/>
          <w:color w:val="333333"/>
          <w:kern w:val="0"/>
          <w:sz w:val="32"/>
          <w:szCs w:val="32"/>
        </w:rPr>
        <w:t>8</w:t>
      </w:r>
      <w:r w:rsidRPr="00E31912">
        <w:rPr>
          <w:rFonts w:ascii="Times New Roman" w:eastAsia="仿宋_GB2312" w:hAnsi="Times New Roman" w:cs="Times New Roman"/>
          <w:color w:val="333333"/>
          <w:kern w:val="0"/>
          <w:sz w:val="32"/>
          <w:szCs w:val="32"/>
        </w:rPr>
        <w:t>、</w:t>
      </w:r>
      <w:r w:rsidRPr="00E31912">
        <w:rPr>
          <w:rFonts w:ascii="Times New Roman" w:eastAsia="仿宋_GB2312" w:hAnsi="Times New Roman" w:cs="Times New Roman"/>
          <w:color w:val="333333"/>
          <w:kern w:val="0"/>
          <w:sz w:val="32"/>
          <w:szCs w:val="32"/>
        </w:rPr>
        <w:t>9</w:t>
      </w:r>
      <w:r w:rsidRPr="00E31912">
        <w:rPr>
          <w:rFonts w:ascii="Times New Roman" w:eastAsia="仿宋_GB2312" w:hAnsi="Times New Roman" w:cs="Times New Roman"/>
          <w:color w:val="333333"/>
          <w:kern w:val="0"/>
          <w:sz w:val="32"/>
          <w:szCs w:val="32"/>
        </w:rPr>
        <w:t>、</w:t>
      </w:r>
      <w:r w:rsidRPr="00E31912">
        <w:rPr>
          <w:rFonts w:ascii="Times New Roman" w:eastAsia="仿宋_GB2312" w:hAnsi="Times New Roman" w:cs="Times New Roman"/>
          <w:color w:val="333333"/>
          <w:kern w:val="0"/>
          <w:sz w:val="32"/>
          <w:szCs w:val="32"/>
        </w:rPr>
        <w:t>10</w:t>
      </w:r>
      <w:r w:rsidRPr="00E31912">
        <w:rPr>
          <w:rFonts w:ascii="Times New Roman" w:eastAsia="仿宋_GB2312" w:hAnsi="Times New Roman" w:cs="Times New Roman"/>
          <w:color w:val="333333"/>
          <w:kern w:val="0"/>
          <w:sz w:val="32"/>
          <w:szCs w:val="32"/>
        </w:rPr>
        <w:t>、</w:t>
      </w:r>
      <w:r w:rsidRPr="00E31912">
        <w:rPr>
          <w:rFonts w:ascii="Times New Roman" w:eastAsia="仿宋_GB2312" w:hAnsi="Times New Roman" w:cs="Times New Roman"/>
          <w:color w:val="333333"/>
          <w:kern w:val="0"/>
          <w:sz w:val="32"/>
          <w:szCs w:val="32"/>
        </w:rPr>
        <w:t>11</w:t>
      </w:r>
      <w:r w:rsidRPr="00E31912">
        <w:rPr>
          <w:rFonts w:ascii="Times New Roman" w:eastAsia="仿宋_GB2312" w:hAnsi="Times New Roman" w:cs="Times New Roman"/>
          <w:color w:val="333333"/>
          <w:kern w:val="0"/>
          <w:sz w:val="32"/>
          <w:szCs w:val="32"/>
        </w:rPr>
        <w:t>、</w:t>
      </w:r>
      <w:r w:rsidRPr="00E31912">
        <w:rPr>
          <w:rFonts w:ascii="Times New Roman" w:eastAsia="仿宋_GB2312" w:hAnsi="Times New Roman" w:cs="Times New Roman"/>
          <w:color w:val="333333"/>
          <w:kern w:val="0"/>
          <w:sz w:val="32"/>
          <w:szCs w:val="32"/>
        </w:rPr>
        <w:t>12</w:t>
      </w:r>
      <w:r w:rsidRPr="00E31912">
        <w:rPr>
          <w:rFonts w:ascii="Times New Roman" w:eastAsia="仿宋_GB2312" w:hAnsi="Times New Roman" w:cs="Times New Roman"/>
          <w:color w:val="333333"/>
          <w:kern w:val="0"/>
          <w:sz w:val="32"/>
          <w:szCs w:val="32"/>
        </w:rPr>
        <w:t>月。</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第八条</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聚氯乙烯期货合约的交易单位为</w:t>
      </w:r>
      <w:r w:rsidRPr="00E31912">
        <w:rPr>
          <w:rFonts w:ascii="Times New Roman" w:eastAsia="仿宋_GB2312" w:hAnsi="Times New Roman" w:cs="Times New Roman"/>
          <w:color w:val="333333"/>
          <w:kern w:val="0"/>
          <w:sz w:val="32"/>
          <w:szCs w:val="32"/>
        </w:rPr>
        <w:t>5</w:t>
      </w:r>
      <w:r w:rsidRPr="00E31912">
        <w:rPr>
          <w:rFonts w:ascii="Times New Roman" w:eastAsia="仿宋_GB2312" w:hAnsi="Times New Roman" w:cs="Times New Roman"/>
          <w:color w:val="333333"/>
          <w:kern w:val="0"/>
          <w:sz w:val="32"/>
          <w:szCs w:val="32"/>
        </w:rPr>
        <w:t>吨</w:t>
      </w:r>
      <w:r w:rsidRPr="00E31912">
        <w:rPr>
          <w:rFonts w:ascii="Times New Roman" w:eastAsia="仿宋_GB2312" w:hAnsi="Times New Roman" w:cs="Times New Roman"/>
          <w:color w:val="333333"/>
          <w:kern w:val="0"/>
          <w:sz w:val="32"/>
          <w:szCs w:val="32"/>
        </w:rPr>
        <w:t>/</w:t>
      </w:r>
      <w:r w:rsidRPr="00E31912">
        <w:rPr>
          <w:rFonts w:ascii="Times New Roman" w:eastAsia="仿宋_GB2312" w:hAnsi="Times New Roman" w:cs="Times New Roman"/>
          <w:color w:val="333333"/>
          <w:kern w:val="0"/>
          <w:sz w:val="32"/>
          <w:szCs w:val="32"/>
        </w:rPr>
        <w:t>手。</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第九条</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聚氯乙烯期货合约的报价单位为元（人民币）</w:t>
      </w:r>
      <w:r w:rsidRPr="00E31912">
        <w:rPr>
          <w:rFonts w:ascii="Times New Roman" w:eastAsia="仿宋_GB2312" w:hAnsi="Times New Roman" w:cs="Times New Roman"/>
          <w:color w:val="333333"/>
          <w:kern w:val="0"/>
          <w:sz w:val="32"/>
          <w:szCs w:val="32"/>
        </w:rPr>
        <w:t>/</w:t>
      </w:r>
      <w:r w:rsidRPr="00E31912">
        <w:rPr>
          <w:rFonts w:ascii="Times New Roman" w:eastAsia="仿宋_GB2312" w:hAnsi="Times New Roman" w:cs="Times New Roman"/>
          <w:color w:val="333333"/>
          <w:kern w:val="0"/>
          <w:sz w:val="32"/>
          <w:szCs w:val="32"/>
        </w:rPr>
        <w:t>吨。</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第十条</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聚氯乙烯期货合约的最小变动价位为</w:t>
      </w:r>
      <w:r w:rsidRPr="00E31912">
        <w:rPr>
          <w:rFonts w:ascii="Times New Roman" w:eastAsia="仿宋_GB2312" w:hAnsi="Times New Roman" w:cs="Times New Roman"/>
          <w:color w:val="333333"/>
          <w:kern w:val="0"/>
          <w:sz w:val="32"/>
          <w:szCs w:val="32"/>
        </w:rPr>
        <w:t>1</w:t>
      </w:r>
      <w:r w:rsidRPr="00E31912">
        <w:rPr>
          <w:rFonts w:ascii="Times New Roman" w:eastAsia="仿宋_GB2312" w:hAnsi="Times New Roman" w:cs="Times New Roman"/>
          <w:color w:val="333333"/>
          <w:kern w:val="0"/>
          <w:sz w:val="32"/>
          <w:szCs w:val="32"/>
        </w:rPr>
        <w:t>元</w:t>
      </w:r>
      <w:r w:rsidRPr="00E31912">
        <w:rPr>
          <w:rFonts w:ascii="Times New Roman" w:eastAsia="仿宋_GB2312" w:hAnsi="Times New Roman" w:cs="Times New Roman"/>
          <w:color w:val="333333"/>
          <w:kern w:val="0"/>
          <w:sz w:val="32"/>
          <w:szCs w:val="32"/>
        </w:rPr>
        <w:t>/</w:t>
      </w:r>
      <w:r w:rsidRPr="00E31912">
        <w:rPr>
          <w:rFonts w:ascii="Times New Roman" w:eastAsia="仿宋_GB2312" w:hAnsi="Times New Roman" w:cs="Times New Roman"/>
          <w:color w:val="333333"/>
          <w:kern w:val="0"/>
          <w:sz w:val="32"/>
          <w:szCs w:val="32"/>
        </w:rPr>
        <w:t>吨。</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第十一条</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聚氯乙烯期货合约的交易指令每次最大下单数量为</w:t>
      </w:r>
      <w:r w:rsidRPr="00E31912">
        <w:rPr>
          <w:rFonts w:ascii="Times New Roman" w:eastAsia="仿宋_GB2312" w:hAnsi="Times New Roman" w:cs="Times New Roman"/>
          <w:color w:val="333333"/>
          <w:kern w:val="0"/>
          <w:sz w:val="32"/>
          <w:szCs w:val="32"/>
        </w:rPr>
        <w:t>1000</w:t>
      </w:r>
      <w:r w:rsidRPr="00E31912">
        <w:rPr>
          <w:rFonts w:ascii="Times New Roman" w:eastAsia="仿宋_GB2312" w:hAnsi="Times New Roman" w:cs="Times New Roman"/>
          <w:color w:val="333333"/>
          <w:kern w:val="0"/>
          <w:sz w:val="32"/>
          <w:szCs w:val="32"/>
        </w:rPr>
        <w:t>手。</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lastRenderedPageBreak/>
        <w:t xml:space="preserve">　　第十二条</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聚氯乙烯期货合约的交易保证金标准、涨跌停板幅度和持仓限额，按照《大连商品交易所风险管理办法》相关规定执行。</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第十三条</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聚氯乙烯期货合约的最后交易日为合约月份第</w:t>
      </w:r>
      <w:r w:rsidRPr="00E31912">
        <w:rPr>
          <w:rFonts w:ascii="Times New Roman" w:eastAsia="仿宋_GB2312" w:hAnsi="Times New Roman" w:cs="Times New Roman"/>
          <w:color w:val="333333"/>
          <w:kern w:val="0"/>
          <w:sz w:val="32"/>
          <w:szCs w:val="32"/>
        </w:rPr>
        <w:t>10</w:t>
      </w:r>
      <w:r w:rsidRPr="00E31912">
        <w:rPr>
          <w:rFonts w:ascii="Times New Roman" w:eastAsia="仿宋_GB2312" w:hAnsi="Times New Roman" w:cs="Times New Roman"/>
          <w:color w:val="333333"/>
          <w:kern w:val="0"/>
          <w:sz w:val="32"/>
          <w:szCs w:val="32"/>
        </w:rPr>
        <w:t>个交易日。</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第十四条</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聚氯乙烯期货合约的最后交割日为最后交易日后第</w:t>
      </w:r>
      <w:r w:rsidRPr="00E31912">
        <w:rPr>
          <w:rFonts w:ascii="Times New Roman" w:eastAsia="仿宋_GB2312" w:hAnsi="Times New Roman" w:cs="Times New Roman"/>
          <w:color w:val="333333"/>
          <w:kern w:val="0"/>
          <w:sz w:val="32"/>
          <w:szCs w:val="32"/>
        </w:rPr>
        <w:t>3</w:t>
      </w:r>
      <w:r w:rsidRPr="00E31912">
        <w:rPr>
          <w:rFonts w:ascii="Times New Roman" w:eastAsia="仿宋_GB2312" w:hAnsi="Times New Roman" w:cs="Times New Roman"/>
          <w:color w:val="333333"/>
          <w:kern w:val="0"/>
          <w:sz w:val="32"/>
          <w:szCs w:val="32"/>
        </w:rPr>
        <w:t>个交易日。</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第十五条</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聚氯乙烯期货合约的交易代码为</w:t>
      </w:r>
      <w:r w:rsidRPr="00E31912">
        <w:rPr>
          <w:rFonts w:ascii="Times New Roman" w:eastAsia="仿宋_GB2312" w:hAnsi="Times New Roman" w:cs="Times New Roman"/>
          <w:color w:val="333333"/>
          <w:kern w:val="0"/>
          <w:sz w:val="32"/>
          <w:szCs w:val="32"/>
        </w:rPr>
        <w:t>V</w:t>
      </w:r>
      <w:r w:rsidRPr="00E31912">
        <w:rPr>
          <w:rFonts w:ascii="Times New Roman" w:eastAsia="仿宋_GB2312" w:hAnsi="Times New Roman" w:cs="Times New Roman"/>
          <w:color w:val="333333"/>
          <w:kern w:val="0"/>
          <w:sz w:val="32"/>
          <w:szCs w:val="32"/>
        </w:rPr>
        <w:t>。</w:t>
      </w:r>
    </w:p>
    <w:p w:rsidR="00E31912" w:rsidRPr="00E31912" w:rsidRDefault="00E31912" w:rsidP="00E31912">
      <w:pPr>
        <w:widowControl/>
        <w:shd w:val="clear" w:color="auto" w:fill="FFFFFF"/>
        <w:jc w:val="center"/>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第三章</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交割与结算</w:t>
      </w:r>
    </w:p>
    <w:p w:rsidR="00E31912" w:rsidRPr="00E31912" w:rsidRDefault="00E31912" w:rsidP="00E31912">
      <w:pPr>
        <w:widowControl/>
        <w:shd w:val="clear" w:color="auto" w:fill="FFFFFF"/>
        <w:jc w:val="center"/>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第一节</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一般规定</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第十六条</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聚氯乙烯期货合约适用期货转现货（以下简称期转现）和一次性交割，具体流程见《大连商品交易所交割管理办法》、《大连商品交易所结算管理办法》相关规定。</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第十七条</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聚氯乙烯标准仓单分为仓库标准仓单和厂库标准仓单。</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第十八条</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聚氯乙烯交割品要求使用原生产厂家或者其认可的包装，包装袋上应标明商标、产品名称、产品标准号、净质量、生产厂名称及地址，并标识产品型号。</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包装材料为内衬塑料薄膜袋的牛皮纸袋、聚丙烯编制袋或牛皮纸与聚丙烯编制物复合袋，应保证产品在正常贮运中包装</w:t>
      </w:r>
      <w:r w:rsidRPr="00E31912">
        <w:rPr>
          <w:rFonts w:ascii="Times New Roman" w:eastAsia="仿宋_GB2312" w:hAnsi="Times New Roman" w:cs="Times New Roman"/>
          <w:color w:val="333333"/>
          <w:kern w:val="0"/>
          <w:sz w:val="32"/>
          <w:szCs w:val="32"/>
        </w:rPr>
        <w:lastRenderedPageBreak/>
        <w:t>不破损，产品不被污染，不泄漏。每袋净含量</w:t>
      </w:r>
      <w:r w:rsidRPr="00E31912">
        <w:rPr>
          <w:rFonts w:ascii="Times New Roman" w:eastAsia="仿宋_GB2312" w:hAnsi="Times New Roman" w:cs="Times New Roman"/>
          <w:color w:val="333333"/>
          <w:kern w:val="0"/>
          <w:sz w:val="32"/>
          <w:szCs w:val="32"/>
        </w:rPr>
        <w:t>25±0.25kg</w:t>
      </w:r>
      <w:r w:rsidRPr="00E31912">
        <w:rPr>
          <w:rFonts w:ascii="Times New Roman" w:eastAsia="仿宋_GB2312" w:hAnsi="Times New Roman" w:cs="Times New Roman"/>
          <w:color w:val="333333"/>
          <w:kern w:val="0"/>
          <w:sz w:val="32"/>
          <w:szCs w:val="32"/>
        </w:rPr>
        <w:t>，每吨</w:t>
      </w:r>
      <w:r w:rsidRPr="00E31912">
        <w:rPr>
          <w:rFonts w:ascii="Times New Roman" w:eastAsia="仿宋_GB2312" w:hAnsi="Times New Roman" w:cs="Times New Roman"/>
          <w:color w:val="333333"/>
          <w:kern w:val="0"/>
          <w:sz w:val="32"/>
          <w:szCs w:val="32"/>
        </w:rPr>
        <w:t>40</w:t>
      </w:r>
      <w:r w:rsidRPr="00E31912">
        <w:rPr>
          <w:rFonts w:ascii="Times New Roman" w:eastAsia="仿宋_GB2312" w:hAnsi="Times New Roman" w:cs="Times New Roman"/>
          <w:color w:val="333333"/>
          <w:kern w:val="0"/>
          <w:sz w:val="32"/>
          <w:szCs w:val="32"/>
        </w:rPr>
        <w:t>袋，不计溢短。</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第十九条</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聚氯乙烯包装物价格包含在聚氯乙烯期货合约价格中。</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第二十条</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聚氯乙烯交割开具增值税专用发票。</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第二十一条</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聚氯乙烯交割手续费、取样及检验费、仓储费等费用由交易所另行规定并公布，无损耗费。</w:t>
      </w:r>
    </w:p>
    <w:p w:rsidR="00E31912" w:rsidRPr="00E31912" w:rsidRDefault="00E31912" w:rsidP="00E31912">
      <w:pPr>
        <w:widowControl/>
        <w:shd w:val="clear" w:color="auto" w:fill="FFFFFF"/>
        <w:jc w:val="center"/>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第二节</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标准仓单交割</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第二十二条</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标准仓单生成、流通、注销等相关业务，本细则未规定的，适用《大连商品交易所标准仓单管理办法》相关规定。</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第二十三条</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会员办理交割预报时，应当按</w:t>
      </w:r>
      <w:r w:rsidRPr="00E31912">
        <w:rPr>
          <w:rFonts w:ascii="Times New Roman" w:eastAsia="仿宋_GB2312" w:hAnsi="Times New Roman" w:cs="Times New Roman"/>
          <w:color w:val="333333"/>
          <w:kern w:val="0"/>
          <w:sz w:val="32"/>
          <w:szCs w:val="32"/>
        </w:rPr>
        <w:t>30</w:t>
      </w:r>
      <w:r w:rsidRPr="00E31912">
        <w:rPr>
          <w:rFonts w:ascii="Times New Roman" w:eastAsia="仿宋_GB2312" w:hAnsi="Times New Roman" w:cs="Times New Roman"/>
          <w:color w:val="333333"/>
          <w:kern w:val="0"/>
          <w:sz w:val="32"/>
          <w:szCs w:val="32"/>
        </w:rPr>
        <w:t>元</w:t>
      </w:r>
      <w:r w:rsidRPr="00E31912">
        <w:rPr>
          <w:rFonts w:ascii="Times New Roman" w:eastAsia="仿宋_GB2312" w:hAnsi="Times New Roman" w:cs="Times New Roman"/>
          <w:color w:val="333333"/>
          <w:kern w:val="0"/>
          <w:sz w:val="32"/>
          <w:szCs w:val="32"/>
        </w:rPr>
        <w:t>/</w:t>
      </w:r>
      <w:r w:rsidRPr="00E31912">
        <w:rPr>
          <w:rFonts w:ascii="Times New Roman" w:eastAsia="仿宋_GB2312" w:hAnsi="Times New Roman" w:cs="Times New Roman"/>
          <w:color w:val="333333"/>
          <w:kern w:val="0"/>
          <w:sz w:val="32"/>
          <w:szCs w:val="32"/>
        </w:rPr>
        <w:t>吨向交易所交纳交割预报定金。</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第二十四条</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办理完交割预报的货主在发货前，应当将车船号、品种、数量、到货时间等通知指定交割仓库，指定交割仓库应当合理安排接收商品入库。</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第二十五条</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指定交割仓库应当委托交易所指定的质量检验机构对入库商品进行质量检验。检验费用由货主承担，由指定交割仓库负责转交。</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lastRenderedPageBreak/>
        <w:t xml:space="preserve">　　第二十六条</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质量检验应当以同一厂家、同一牌号进行组批，每批</w:t>
      </w:r>
      <w:r w:rsidRPr="00E31912">
        <w:rPr>
          <w:rFonts w:ascii="Times New Roman" w:eastAsia="仿宋_GB2312" w:hAnsi="Times New Roman" w:cs="Times New Roman"/>
          <w:color w:val="333333"/>
          <w:kern w:val="0"/>
          <w:sz w:val="32"/>
          <w:szCs w:val="32"/>
        </w:rPr>
        <w:t>300</w:t>
      </w:r>
      <w:r w:rsidRPr="00E31912">
        <w:rPr>
          <w:rFonts w:ascii="Times New Roman" w:eastAsia="仿宋_GB2312" w:hAnsi="Times New Roman" w:cs="Times New Roman"/>
          <w:color w:val="333333"/>
          <w:kern w:val="0"/>
          <w:sz w:val="32"/>
          <w:szCs w:val="32"/>
        </w:rPr>
        <w:t>吨，超过</w:t>
      </w:r>
      <w:r w:rsidRPr="00E31912">
        <w:rPr>
          <w:rFonts w:ascii="Times New Roman" w:eastAsia="仿宋_GB2312" w:hAnsi="Times New Roman" w:cs="Times New Roman"/>
          <w:color w:val="333333"/>
          <w:kern w:val="0"/>
          <w:sz w:val="32"/>
          <w:szCs w:val="32"/>
        </w:rPr>
        <w:t>300</w:t>
      </w:r>
      <w:r w:rsidRPr="00E31912">
        <w:rPr>
          <w:rFonts w:ascii="Times New Roman" w:eastAsia="仿宋_GB2312" w:hAnsi="Times New Roman" w:cs="Times New Roman"/>
          <w:color w:val="333333"/>
          <w:kern w:val="0"/>
          <w:sz w:val="32"/>
          <w:szCs w:val="32"/>
        </w:rPr>
        <w:t>吨的应分若干批检验，不足</w:t>
      </w:r>
      <w:r w:rsidRPr="00E31912">
        <w:rPr>
          <w:rFonts w:ascii="Times New Roman" w:eastAsia="仿宋_GB2312" w:hAnsi="Times New Roman" w:cs="Times New Roman"/>
          <w:color w:val="333333"/>
          <w:kern w:val="0"/>
          <w:sz w:val="32"/>
          <w:szCs w:val="32"/>
        </w:rPr>
        <w:t>300</w:t>
      </w:r>
      <w:r w:rsidRPr="00E31912">
        <w:rPr>
          <w:rFonts w:ascii="Times New Roman" w:eastAsia="仿宋_GB2312" w:hAnsi="Times New Roman" w:cs="Times New Roman"/>
          <w:color w:val="333333"/>
          <w:kern w:val="0"/>
          <w:sz w:val="32"/>
          <w:szCs w:val="32"/>
        </w:rPr>
        <w:t>吨的按一批检验。</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采样、试验方法按照</w:t>
      </w:r>
      <w:r w:rsidRPr="00E31912">
        <w:rPr>
          <w:rFonts w:ascii="Times New Roman" w:eastAsia="仿宋_GB2312" w:hAnsi="Times New Roman" w:cs="Times New Roman"/>
          <w:color w:val="333333"/>
          <w:kern w:val="0"/>
          <w:sz w:val="32"/>
          <w:szCs w:val="32"/>
        </w:rPr>
        <w:t>GB/T 5761-2018</w:t>
      </w:r>
      <w:r w:rsidRPr="00E31912">
        <w:rPr>
          <w:rFonts w:ascii="Times New Roman" w:eastAsia="仿宋_GB2312" w:hAnsi="Times New Roman" w:cs="Times New Roman"/>
          <w:color w:val="333333"/>
          <w:kern w:val="0"/>
          <w:sz w:val="32"/>
          <w:szCs w:val="32"/>
        </w:rPr>
        <w:t>相关规定执行。</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第二十七条</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交易所指定的质量检验机构完成入库聚氯乙烯质量检验后，应当出具检验报告正本一份，副本三份，并将正本提交指定交割仓库，向交易所和货主分别提交副本一份。</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第二十八条</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指定交割仓库应当按照交易所有关规定对入库聚氯乙烯的厂家、牌号、质量、包装及相关材料和凭证进行验收。</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注册聚氯乙烯期货标准仓单时，货主应提供对应的增值税专用发票复印件，指定交割仓库应当核实货物来源。</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第二十九条</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聚氯乙烯收发数量以指定交割仓库核对为准。</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第三十条</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境内生产的聚氯乙烯申请注册仓库标准仓单的，申请注册日期距商品生产日期不得超过</w:t>
      </w:r>
      <w:r w:rsidRPr="00E31912">
        <w:rPr>
          <w:rFonts w:ascii="Times New Roman" w:eastAsia="仿宋_GB2312" w:hAnsi="Times New Roman" w:cs="Times New Roman"/>
          <w:color w:val="333333"/>
          <w:kern w:val="0"/>
          <w:sz w:val="32"/>
          <w:szCs w:val="32"/>
        </w:rPr>
        <w:t>120</w:t>
      </w:r>
      <w:r w:rsidRPr="00E31912">
        <w:rPr>
          <w:rFonts w:ascii="Times New Roman" w:eastAsia="仿宋_GB2312" w:hAnsi="Times New Roman" w:cs="Times New Roman"/>
          <w:color w:val="333333"/>
          <w:kern w:val="0"/>
          <w:sz w:val="32"/>
          <w:szCs w:val="32"/>
        </w:rPr>
        <w:t>（含</w:t>
      </w:r>
      <w:r w:rsidRPr="00E31912">
        <w:rPr>
          <w:rFonts w:ascii="Times New Roman" w:eastAsia="仿宋_GB2312" w:hAnsi="Times New Roman" w:cs="Times New Roman"/>
          <w:color w:val="333333"/>
          <w:kern w:val="0"/>
          <w:sz w:val="32"/>
          <w:szCs w:val="32"/>
        </w:rPr>
        <w:t>120</w:t>
      </w:r>
      <w:r w:rsidRPr="00E31912">
        <w:rPr>
          <w:rFonts w:ascii="Times New Roman" w:eastAsia="仿宋_GB2312" w:hAnsi="Times New Roman" w:cs="Times New Roman"/>
          <w:color w:val="333333"/>
          <w:kern w:val="0"/>
          <w:sz w:val="32"/>
          <w:szCs w:val="32"/>
        </w:rPr>
        <w:t>）个自然日。</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境外生产的聚氯乙烯申请注册仓库标准仓单的，申请注册日期距商品《进口货物报关单》进口日期（或者《进境货物备案清单》进境日期）不得超过</w:t>
      </w:r>
      <w:r w:rsidRPr="00E31912">
        <w:rPr>
          <w:rFonts w:ascii="Times New Roman" w:eastAsia="仿宋_GB2312" w:hAnsi="Times New Roman" w:cs="Times New Roman"/>
          <w:color w:val="333333"/>
          <w:kern w:val="0"/>
          <w:sz w:val="32"/>
          <w:szCs w:val="32"/>
        </w:rPr>
        <w:t>120</w:t>
      </w:r>
      <w:r w:rsidRPr="00E31912">
        <w:rPr>
          <w:rFonts w:ascii="Times New Roman" w:eastAsia="仿宋_GB2312" w:hAnsi="Times New Roman" w:cs="Times New Roman"/>
          <w:color w:val="333333"/>
          <w:kern w:val="0"/>
          <w:sz w:val="32"/>
          <w:szCs w:val="32"/>
        </w:rPr>
        <w:t>（含</w:t>
      </w:r>
      <w:r w:rsidRPr="00E31912">
        <w:rPr>
          <w:rFonts w:ascii="Times New Roman" w:eastAsia="仿宋_GB2312" w:hAnsi="Times New Roman" w:cs="Times New Roman"/>
          <w:color w:val="333333"/>
          <w:kern w:val="0"/>
          <w:sz w:val="32"/>
          <w:szCs w:val="32"/>
        </w:rPr>
        <w:t>120</w:t>
      </w:r>
      <w:r w:rsidRPr="00E31912">
        <w:rPr>
          <w:rFonts w:ascii="Times New Roman" w:eastAsia="仿宋_GB2312" w:hAnsi="Times New Roman" w:cs="Times New Roman"/>
          <w:color w:val="333333"/>
          <w:kern w:val="0"/>
          <w:sz w:val="32"/>
          <w:szCs w:val="32"/>
        </w:rPr>
        <w:t>）个自然日。</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第三十一条</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聚氯乙烯标准仓单在每年的</w:t>
      </w:r>
      <w:r w:rsidRPr="00E31912">
        <w:rPr>
          <w:rFonts w:ascii="Times New Roman" w:eastAsia="仿宋_GB2312" w:hAnsi="Times New Roman" w:cs="Times New Roman"/>
          <w:color w:val="333333"/>
          <w:kern w:val="0"/>
          <w:sz w:val="32"/>
          <w:szCs w:val="32"/>
        </w:rPr>
        <w:t>3</w:t>
      </w:r>
      <w:r w:rsidRPr="00E31912">
        <w:rPr>
          <w:rFonts w:ascii="Times New Roman" w:eastAsia="仿宋_GB2312" w:hAnsi="Times New Roman" w:cs="Times New Roman"/>
          <w:color w:val="333333"/>
          <w:kern w:val="0"/>
          <w:sz w:val="32"/>
          <w:szCs w:val="32"/>
        </w:rPr>
        <w:t>月份最后</w:t>
      </w:r>
      <w:r w:rsidRPr="00E31912">
        <w:rPr>
          <w:rFonts w:ascii="Times New Roman" w:eastAsia="仿宋_GB2312" w:hAnsi="Times New Roman" w:cs="Times New Roman"/>
          <w:color w:val="333333"/>
          <w:kern w:val="0"/>
          <w:sz w:val="32"/>
          <w:szCs w:val="32"/>
        </w:rPr>
        <w:t>1</w:t>
      </w:r>
      <w:r w:rsidRPr="00E31912">
        <w:rPr>
          <w:rFonts w:ascii="Times New Roman" w:eastAsia="仿宋_GB2312" w:hAnsi="Times New Roman" w:cs="Times New Roman"/>
          <w:color w:val="333333"/>
          <w:kern w:val="0"/>
          <w:sz w:val="32"/>
          <w:szCs w:val="32"/>
        </w:rPr>
        <w:t>个交易日之前应当进行标准仓单注销。</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lastRenderedPageBreak/>
        <w:t xml:space="preserve">　　第三十二条</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聚氯乙烯从仓库出库时，持有《提货通知单》或者提货密码的货主应当在实际提货日</w:t>
      </w:r>
      <w:r w:rsidRPr="00E31912">
        <w:rPr>
          <w:rFonts w:ascii="Times New Roman" w:eastAsia="仿宋_GB2312" w:hAnsi="Times New Roman" w:cs="Times New Roman"/>
          <w:color w:val="333333"/>
          <w:kern w:val="0"/>
          <w:sz w:val="32"/>
          <w:szCs w:val="32"/>
        </w:rPr>
        <w:t>3</w:t>
      </w:r>
      <w:r w:rsidRPr="00E31912">
        <w:rPr>
          <w:rFonts w:ascii="Times New Roman" w:eastAsia="仿宋_GB2312" w:hAnsi="Times New Roman" w:cs="Times New Roman"/>
          <w:color w:val="333333"/>
          <w:kern w:val="0"/>
          <w:sz w:val="32"/>
          <w:szCs w:val="32"/>
        </w:rPr>
        <w:t>个自然日前与指定交割仓库联系有关出库事宜，并在标准仓单注销日后</w:t>
      </w:r>
      <w:r w:rsidRPr="00E31912">
        <w:rPr>
          <w:rFonts w:ascii="Times New Roman" w:eastAsia="仿宋_GB2312" w:hAnsi="Times New Roman" w:cs="Times New Roman"/>
          <w:color w:val="333333"/>
          <w:kern w:val="0"/>
          <w:sz w:val="32"/>
          <w:szCs w:val="32"/>
        </w:rPr>
        <w:t>10</w:t>
      </w:r>
      <w:r w:rsidRPr="00E31912">
        <w:rPr>
          <w:rFonts w:ascii="Times New Roman" w:eastAsia="仿宋_GB2312" w:hAnsi="Times New Roman" w:cs="Times New Roman"/>
          <w:color w:val="333333"/>
          <w:kern w:val="0"/>
          <w:sz w:val="32"/>
          <w:szCs w:val="32"/>
        </w:rPr>
        <w:t>个工作日内（含当日）到指定交割仓库提货。</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第三十三条</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聚氯乙烯从厂库出库时，货主应当在标准仓单注销日后（不含注销日）的</w:t>
      </w:r>
      <w:r w:rsidRPr="00E31912">
        <w:rPr>
          <w:rFonts w:ascii="Times New Roman" w:eastAsia="仿宋_GB2312" w:hAnsi="Times New Roman" w:cs="Times New Roman"/>
          <w:color w:val="333333"/>
          <w:kern w:val="0"/>
          <w:sz w:val="32"/>
          <w:szCs w:val="32"/>
        </w:rPr>
        <w:t>4</w:t>
      </w:r>
      <w:r w:rsidRPr="00E31912">
        <w:rPr>
          <w:rFonts w:ascii="Times New Roman" w:eastAsia="仿宋_GB2312" w:hAnsi="Times New Roman" w:cs="Times New Roman"/>
          <w:color w:val="333333"/>
          <w:kern w:val="0"/>
          <w:sz w:val="32"/>
          <w:szCs w:val="32"/>
        </w:rPr>
        <w:t>个自然日内（含当日）到厂库提货。厂库应当在标准仓单注销日后（不含注销日）的</w:t>
      </w:r>
      <w:r w:rsidRPr="00E31912">
        <w:rPr>
          <w:rFonts w:ascii="Times New Roman" w:eastAsia="仿宋_GB2312" w:hAnsi="Times New Roman" w:cs="Times New Roman"/>
          <w:color w:val="333333"/>
          <w:kern w:val="0"/>
          <w:sz w:val="32"/>
          <w:szCs w:val="32"/>
        </w:rPr>
        <w:t>4</w:t>
      </w:r>
      <w:r w:rsidRPr="00E31912">
        <w:rPr>
          <w:rFonts w:ascii="Times New Roman" w:eastAsia="仿宋_GB2312" w:hAnsi="Times New Roman" w:cs="Times New Roman"/>
          <w:color w:val="333333"/>
          <w:kern w:val="0"/>
          <w:sz w:val="32"/>
          <w:szCs w:val="32"/>
        </w:rPr>
        <w:t>个自然日内（含当日）开始发货。</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聚氯乙烯出库时，厂库应当在货主的监督下进行抽样，经双方确认后将样品封存，并将样品保留至发货日后的</w:t>
      </w:r>
      <w:r w:rsidRPr="00E31912">
        <w:rPr>
          <w:rFonts w:ascii="Times New Roman" w:eastAsia="仿宋_GB2312" w:hAnsi="Times New Roman" w:cs="Times New Roman"/>
          <w:color w:val="333333"/>
          <w:kern w:val="0"/>
          <w:sz w:val="32"/>
          <w:szCs w:val="32"/>
        </w:rPr>
        <w:t>30</w:t>
      </w:r>
      <w:r w:rsidRPr="00E31912">
        <w:rPr>
          <w:rFonts w:ascii="Times New Roman" w:eastAsia="仿宋_GB2312" w:hAnsi="Times New Roman" w:cs="Times New Roman"/>
          <w:color w:val="333333"/>
          <w:kern w:val="0"/>
          <w:sz w:val="32"/>
          <w:szCs w:val="32"/>
        </w:rPr>
        <w:t>个自然日，作为发生质量争议时的处理依据。</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第三十四条</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厂库以不高于日发货速度向货主发货时，货主因运输能力等原因无法按时提货，货主应当向厂库支付滞纳金。滞纳金按照如下方法确定：</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（一）从开始提货之日（含当日）起，每日按照截至当日应提而未提的商品数量乘以相应的滞纳金标准计算出当日滞纳金金额；</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（二）直至完成提货之日（不含当日），在加总每日滞纳金金额的基础上，计算出货主应当向厂库支付的滞纳金总额。</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滞纳金标准为</w:t>
      </w:r>
      <w:r w:rsidRPr="00E31912">
        <w:rPr>
          <w:rFonts w:ascii="Times New Roman" w:eastAsia="仿宋_GB2312" w:hAnsi="Times New Roman" w:cs="Times New Roman"/>
          <w:color w:val="333333"/>
          <w:kern w:val="0"/>
          <w:sz w:val="32"/>
          <w:szCs w:val="32"/>
        </w:rPr>
        <w:t>2</w:t>
      </w:r>
      <w:r w:rsidRPr="00E31912">
        <w:rPr>
          <w:rFonts w:ascii="Times New Roman" w:eastAsia="仿宋_GB2312" w:hAnsi="Times New Roman" w:cs="Times New Roman"/>
          <w:color w:val="333333"/>
          <w:kern w:val="0"/>
          <w:sz w:val="32"/>
          <w:szCs w:val="32"/>
        </w:rPr>
        <w:t>元</w:t>
      </w:r>
      <w:r w:rsidRPr="00E31912">
        <w:rPr>
          <w:rFonts w:ascii="Times New Roman" w:eastAsia="仿宋_GB2312" w:hAnsi="Times New Roman" w:cs="Times New Roman"/>
          <w:color w:val="333333"/>
          <w:kern w:val="0"/>
          <w:sz w:val="32"/>
          <w:szCs w:val="32"/>
        </w:rPr>
        <w:t>/</w:t>
      </w:r>
      <w:r w:rsidRPr="00E31912">
        <w:rPr>
          <w:rFonts w:ascii="Times New Roman" w:eastAsia="仿宋_GB2312" w:hAnsi="Times New Roman" w:cs="Times New Roman"/>
          <w:color w:val="333333"/>
          <w:kern w:val="0"/>
          <w:sz w:val="32"/>
          <w:szCs w:val="32"/>
        </w:rPr>
        <w:t>吨</w:t>
      </w:r>
      <w:r w:rsidRPr="00E31912">
        <w:rPr>
          <w:rFonts w:ascii="Times New Roman" w:eastAsia="微软雅黑" w:hAnsi="Times New Roman" w:cs="Times New Roman"/>
          <w:color w:val="333333"/>
          <w:kern w:val="0"/>
          <w:sz w:val="32"/>
          <w:szCs w:val="32"/>
        </w:rPr>
        <w:t>•</w:t>
      </w:r>
      <w:r w:rsidRPr="00E31912">
        <w:rPr>
          <w:rFonts w:ascii="Times New Roman" w:eastAsia="仿宋_GB2312" w:hAnsi="Times New Roman" w:cs="Times New Roman"/>
          <w:color w:val="333333"/>
          <w:kern w:val="0"/>
          <w:sz w:val="32"/>
          <w:szCs w:val="32"/>
        </w:rPr>
        <w:t>天。</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lastRenderedPageBreak/>
        <w:t xml:space="preserve">　　第三十五条</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在提货期限届满之日后（不含当日）且在标准仓单注销日后（不含注销日）的</w:t>
      </w:r>
      <w:r w:rsidRPr="00E31912">
        <w:rPr>
          <w:rFonts w:ascii="Times New Roman" w:eastAsia="仿宋_GB2312" w:hAnsi="Times New Roman" w:cs="Times New Roman"/>
          <w:color w:val="333333"/>
          <w:kern w:val="0"/>
          <w:sz w:val="32"/>
          <w:szCs w:val="32"/>
        </w:rPr>
        <w:t>19</w:t>
      </w:r>
      <w:r w:rsidRPr="00E31912">
        <w:rPr>
          <w:rFonts w:ascii="Times New Roman" w:eastAsia="仿宋_GB2312" w:hAnsi="Times New Roman" w:cs="Times New Roman"/>
          <w:color w:val="333333"/>
          <w:kern w:val="0"/>
          <w:sz w:val="32"/>
          <w:szCs w:val="32"/>
        </w:rPr>
        <w:t>个自然日内（含当日）到厂库提货，货主应当向厂库支付滞纳金，厂库仍应按照期货标准承担有关的商品质量、发货时间和发货速度的责任，直至发完全部期货商品。</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滞纳金按照如下方法确定：</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（一）从提货期限届满之日（含当日）起，每日按照截至当日应提而未提的商品数量乘以相应的滞纳金标准计算出当日滞纳金金额；</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（二）直至完成提货之日（不含当日），在加总每日滞纳金金额的基础上，计算出货主应当向厂库支付的滞纳金总额。</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滞纳金标准为</w:t>
      </w:r>
      <w:r w:rsidRPr="00E31912">
        <w:rPr>
          <w:rFonts w:ascii="Times New Roman" w:eastAsia="仿宋_GB2312" w:hAnsi="Times New Roman" w:cs="Times New Roman"/>
          <w:color w:val="333333"/>
          <w:kern w:val="0"/>
          <w:sz w:val="32"/>
          <w:szCs w:val="32"/>
        </w:rPr>
        <w:t>2</w:t>
      </w:r>
      <w:r w:rsidRPr="00E31912">
        <w:rPr>
          <w:rFonts w:ascii="Times New Roman" w:eastAsia="仿宋_GB2312" w:hAnsi="Times New Roman" w:cs="Times New Roman"/>
          <w:color w:val="333333"/>
          <w:kern w:val="0"/>
          <w:sz w:val="32"/>
          <w:szCs w:val="32"/>
        </w:rPr>
        <w:t>元</w:t>
      </w:r>
      <w:r w:rsidRPr="00E31912">
        <w:rPr>
          <w:rFonts w:ascii="Times New Roman" w:eastAsia="仿宋_GB2312" w:hAnsi="Times New Roman" w:cs="Times New Roman"/>
          <w:color w:val="333333"/>
          <w:kern w:val="0"/>
          <w:sz w:val="32"/>
          <w:szCs w:val="32"/>
        </w:rPr>
        <w:t>/</w:t>
      </w:r>
      <w:r w:rsidRPr="00E31912">
        <w:rPr>
          <w:rFonts w:ascii="Times New Roman" w:eastAsia="仿宋_GB2312" w:hAnsi="Times New Roman" w:cs="Times New Roman"/>
          <w:color w:val="333333"/>
          <w:kern w:val="0"/>
          <w:sz w:val="32"/>
          <w:szCs w:val="32"/>
        </w:rPr>
        <w:t>吨</w:t>
      </w:r>
      <w:r w:rsidRPr="00E31912">
        <w:rPr>
          <w:rFonts w:ascii="Times New Roman" w:eastAsia="微软雅黑" w:hAnsi="Times New Roman" w:cs="Times New Roman"/>
          <w:color w:val="333333"/>
          <w:kern w:val="0"/>
          <w:sz w:val="32"/>
          <w:szCs w:val="32"/>
        </w:rPr>
        <w:t>•</w:t>
      </w:r>
      <w:r w:rsidRPr="00E31912">
        <w:rPr>
          <w:rFonts w:ascii="Times New Roman" w:eastAsia="仿宋_GB2312" w:hAnsi="Times New Roman" w:cs="Times New Roman"/>
          <w:color w:val="333333"/>
          <w:kern w:val="0"/>
          <w:sz w:val="32"/>
          <w:szCs w:val="32"/>
        </w:rPr>
        <w:t>天。</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第三十六条</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在标准仓单注销日后（不含注销日）的</w:t>
      </w:r>
      <w:r w:rsidRPr="00E31912">
        <w:rPr>
          <w:rFonts w:ascii="Times New Roman" w:eastAsia="仿宋_GB2312" w:hAnsi="Times New Roman" w:cs="Times New Roman"/>
          <w:color w:val="333333"/>
          <w:kern w:val="0"/>
          <w:sz w:val="32"/>
          <w:szCs w:val="32"/>
        </w:rPr>
        <w:t>19</w:t>
      </w:r>
      <w:r w:rsidRPr="00E31912">
        <w:rPr>
          <w:rFonts w:ascii="Times New Roman" w:eastAsia="仿宋_GB2312" w:hAnsi="Times New Roman" w:cs="Times New Roman"/>
          <w:color w:val="333333"/>
          <w:kern w:val="0"/>
          <w:sz w:val="32"/>
          <w:szCs w:val="32"/>
        </w:rPr>
        <w:t>个自然日后（不含当日）到厂库提货，货主应当以下述公式的计算方法向厂库支付滞纳金，同时厂库将不再按照期货标准承担有关的商品质量、发货时间和发货速度的责任。</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滞纳金金额</w:t>
      </w:r>
      <w:r w:rsidRPr="00E31912">
        <w:rPr>
          <w:rFonts w:ascii="Times New Roman" w:eastAsia="仿宋_GB2312" w:hAnsi="Times New Roman" w:cs="Times New Roman"/>
          <w:color w:val="333333"/>
          <w:kern w:val="0"/>
          <w:sz w:val="32"/>
          <w:szCs w:val="32"/>
        </w:rPr>
        <w:t>=2</w:t>
      </w:r>
      <w:r w:rsidRPr="00E31912">
        <w:rPr>
          <w:rFonts w:ascii="Times New Roman" w:eastAsia="仿宋_GB2312" w:hAnsi="Times New Roman" w:cs="Times New Roman"/>
          <w:color w:val="333333"/>
          <w:kern w:val="0"/>
          <w:sz w:val="32"/>
          <w:szCs w:val="32"/>
        </w:rPr>
        <w:t>元</w:t>
      </w:r>
      <w:r w:rsidRPr="00E31912">
        <w:rPr>
          <w:rFonts w:ascii="Times New Roman" w:eastAsia="仿宋_GB2312" w:hAnsi="Times New Roman" w:cs="Times New Roman"/>
          <w:color w:val="333333"/>
          <w:kern w:val="0"/>
          <w:sz w:val="32"/>
          <w:szCs w:val="32"/>
        </w:rPr>
        <w:t>/</w:t>
      </w:r>
      <w:r w:rsidRPr="00E31912">
        <w:rPr>
          <w:rFonts w:ascii="Times New Roman" w:eastAsia="仿宋_GB2312" w:hAnsi="Times New Roman" w:cs="Times New Roman"/>
          <w:color w:val="333333"/>
          <w:kern w:val="0"/>
          <w:sz w:val="32"/>
          <w:szCs w:val="32"/>
        </w:rPr>
        <w:t>吨</w:t>
      </w:r>
      <w:r w:rsidRPr="00E31912">
        <w:rPr>
          <w:rFonts w:ascii="Times New Roman" w:eastAsia="微软雅黑" w:hAnsi="Times New Roman" w:cs="Times New Roman"/>
          <w:color w:val="333333"/>
          <w:kern w:val="0"/>
          <w:sz w:val="32"/>
          <w:szCs w:val="32"/>
        </w:rPr>
        <w:t>•</w:t>
      </w:r>
      <w:r w:rsidRPr="00E31912">
        <w:rPr>
          <w:rFonts w:ascii="Times New Roman" w:eastAsia="仿宋_GB2312" w:hAnsi="Times New Roman" w:cs="Times New Roman"/>
          <w:color w:val="333333"/>
          <w:kern w:val="0"/>
          <w:sz w:val="32"/>
          <w:szCs w:val="32"/>
        </w:rPr>
        <w:t>天</w:t>
      </w:r>
      <w:r w:rsidRPr="00E31912">
        <w:rPr>
          <w:rFonts w:ascii="Times New Roman" w:eastAsia="仿宋_GB2312" w:hAnsi="Times New Roman" w:cs="Times New Roman"/>
          <w:color w:val="333333"/>
          <w:kern w:val="0"/>
          <w:sz w:val="32"/>
          <w:szCs w:val="32"/>
        </w:rPr>
        <w:t>×</w:t>
      </w:r>
      <w:r w:rsidRPr="00E31912">
        <w:rPr>
          <w:rFonts w:ascii="Times New Roman" w:eastAsia="仿宋_GB2312" w:hAnsi="Times New Roman" w:cs="Times New Roman"/>
          <w:color w:val="333333"/>
          <w:kern w:val="0"/>
          <w:sz w:val="32"/>
          <w:szCs w:val="32"/>
        </w:rPr>
        <w:t>全部的商品数量</w:t>
      </w:r>
      <w:r w:rsidRPr="00E31912">
        <w:rPr>
          <w:rFonts w:ascii="Times New Roman" w:eastAsia="仿宋_GB2312" w:hAnsi="Times New Roman" w:cs="Times New Roman"/>
          <w:color w:val="333333"/>
          <w:kern w:val="0"/>
          <w:sz w:val="32"/>
          <w:szCs w:val="32"/>
        </w:rPr>
        <w:t>×19</w:t>
      </w:r>
      <w:r w:rsidRPr="00E31912">
        <w:rPr>
          <w:rFonts w:ascii="Times New Roman" w:eastAsia="仿宋_GB2312" w:hAnsi="Times New Roman" w:cs="Times New Roman"/>
          <w:color w:val="333333"/>
          <w:kern w:val="0"/>
          <w:sz w:val="32"/>
          <w:szCs w:val="32"/>
        </w:rPr>
        <w:t>天</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第三十七条</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厂库未按规定的日发货速度发货，但按时完成了所有商品的发货，厂库应当向货主支付赔偿金。</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赔偿金金额</w:t>
      </w:r>
      <w:r w:rsidRPr="00E31912">
        <w:rPr>
          <w:rFonts w:ascii="Times New Roman" w:eastAsia="仿宋_GB2312" w:hAnsi="Times New Roman" w:cs="Times New Roman"/>
          <w:color w:val="333333"/>
          <w:kern w:val="0"/>
          <w:sz w:val="32"/>
          <w:szCs w:val="32"/>
        </w:rPr>
        <w:t>=</w:t>
      </w:r>
      <w:r w:rsidRPr="00E31912">
        <w:rPr>
          <w:rFonts w:ascii="Times New Roman" w:eastAsia="仿宋_GB2312" w:hAnsi="Times New Roman" w:cs="Times New Roman"/>
          <w:color w:val="333333"/>
          <w:kern w:val="0"/>
          <w:sz w:val="32"/>
          <w:szCs w:val="32"/>
        </w:rPr>
        <w:t>该商品最近已交割月份交割结算价</w:t>
      </w:r>
      <w:r w:rsidRPr="00E31912">
        <w:rPr>
          <w:rFonts w:ascii="Times New Roman" w:eastAsia="仿宋_GB2312" w:hAnsi="Times New Roman" w:cs="Times New Roman"/>
          <w:color w:val="333333"/>
          <w:kern w:val="0"/>
          <w:sz w:val="32"/>
          <w:szCs w:val="32"/>
        </w:rPr>
        <w:t>×</w:t>
      </w:r>
      <w:r w:rsidRPr="00E31912">
        <w:rPr>
          <w:rFonts w:ascii="Times New Roman" w:eastAsia="仿宋_GB2312" w:hAnsi="Times New Roman" w:cs="Times New Roman"/>
          <w:color w:val="333333"/>
          <w:kern w:val="0"/>
          <w:sz w:val="32"/>
          <w:szCs w:val="32"/>
        </w:rPr>
        <w:t>按日出库速度应发而未发的商品数量</w:t>
      </w:r>
      <w:r w:rsidRPr="00E31912">
        <w:rPr>
          <w:rFonts w:ascii="Times New Roman" w:eastAsia="仿宋_GB2312" w:hAnsi="Times New Roman" w:cs="Times New Roman"/>
          <w:color w:val="333333"/>
          <w:kern w:val="0"/>
          <w:sz w:val="32"/>
          <w:szCs w:val="32"/>
        </w:rPr>
        <w:t>×5%</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lastRenderedPageBreak/>
        <w:t xml:space="preserve">　　第三十八条</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厂库未按时完成所有商品的发货，在按本细则第三十七条规定进行赔偿的基础上，同时还应当向货主支付赔偿金，赔偿金金额</w:t>
      </w:r>
      <w:r w:rsidRPr="00E31912">
        <w:rPr>
          <w:rFonts w:ascii="Times New Roman" w:eastAsia="仿宋_GB2312" w:hAnsi="Times New Roman" w:cs="Times New Roman"/>
          <w:color w:val="333333"/>
          <w:kern w:val="0"/>
          <w:sz w:val="32"/>
          <w:szCs w:val="32"/>
        </w:rPr>
        <w:t>=</w:t>
      </w:r>
      <w:r w:rsidRPr="00E31912">
        <w:rPr>
          <w:rFonts w:ascii="Times New Roman" w:eastAsia="仿宋_GB2312" w:hAnsi="Times New Roman" w:cs="Times New Roman"/>
          <w:color w:val="333333"/>
          <w:kern w:val="0"/>
          <w:sz w:val="32"/>
          <w:szCs w:val="32"/>
        </w:rPr>
        <w:t>该商品最近已交割月份交割结算价</w:t>
      </w:r>
      <w:r w:rsidRPr="00E31912">
        <w:rPr>
          <w:rFonts w:ascii="Times New Roman" w:eastAsia="仿宋_GB2312" w:hAnsi="Times New Roman" w:cs="Times New Roman"/>
          <w:color w:val="333333"/>
          <w:kern w:val="0"/>
          <w:sz w:val="32"/>
          <w:szCs w:val="32"/>
        </w:rPr>
        <w:t>×</w:t>
      </w:r>
      <w:r w:rsidRPr="00E31912">
        <w:rPr>
          <w:rFonts w:ascii="Times New Roman" w:eastAsia="仿宋_GB2312" w:hAnsi="Times New Roman" w:cs="Times New Roman"/>
          <w:color w:val="333333"/>
          <w:kern w:val="0"/>
          <w:sz w:val="32"/>
          <w:szCs w:val="32"/>
        </w:rPr>
        <w:t>按商品总量应发而未发的商品数量</w:t>
      </w:r>
      <w:r w:rsidRPr="00E31912">
        <w:rPr>
          <w:rFonts w:ascii="Times New Roman" w:eastAsia="仿宋_GB2312" w:hAnsi="Times New Roman" w:cs="Times New Roman"/>
          <w:color w:val="333333"/>
          <w:kern w:val="0"/>
          <w:sz w:val="32"/>
          <w:szCs w:val="32"/>
        </w:rPr>
        <w:t>×5%</w:t>
      </w:r>
      <w:r w:rsidRPr="00E31912">
        <w:rPr>
          <w:rFonts w:ascii="Times New Roman" w:eastAsia="仿宋_GB2312" w:hAnsi="Times New Roman" w:cs="Times New Roman"/>
          <w:color w:val="333333"/>
          <w:kern w:val="0"/>
          <w:sz w:val="32"/>
          <w:szCs w:val="32"/>
        </w:rPr>
        <w:t>；并按照以下程序进行处理：</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（一）交易所向货主提供其它厂库或其它地点的相同质量和数量的现货商品，并承担调整交货地点和延期发货产生的全部费用。</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（二）交易所无法提供上述商品时，向货主返还货款并支付赔偿金。</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返还货款和赔偿金的金额</w:t>
      </w:r>
      <w:r w:rsidRPr="00E31912">
        <w:rPr>
          <w:rFonts w:ascii="Times New Roman" w:eastAsia="仿宋_GB2312" w:hAnsi="Times New Roman" w:cs="Times New Roman"/>
          <w:color w:val="333333"/>
          <w:kern w:val="0"/>
          <w:sz w:val="32"/>
          <w:szCs w:val="32"/>
        </w:rPr>
        <w:t>=</w:t>
      </w:r>
      <w:r w:rsidRPr="00E31912">
        <w:rPr>
          <w:rFonts w:ascii="Times New Roman" w:eastAsia="仿宋_GB2312" w:hAnsi="Times New Roman" w:cs="Times New Roman"/>
          <w:color w:val="333333"/>
          <w:kern w:val="0"/>
          <w:sz w:val="32"/>
          <w:szCs w:val="32"/>
        </w:rPr>
        <w:t>该商品最近已交割月份交割结算价</w:t>
      </w:r>
      <w:r w:rsidRPr="00E31912">
        <w:rPr>
          <w:rFonts w:ascii="Times New Roman" w:eastAsia="仿宋_GB2312" w:hAnsi="Times New Roman" w:cs="Times New Roman"/>
          <w:color w:val="333333"/>
          <w:kern w:val="0"/>
          <w:sz w:val="32"/>
          <w:szCs w:val="32"/>
        </w:rPr>
        <w:t>×</w:t>
      </w:r>
      <w:r w:rsidRPr="00E31912">
        <w:rPr>
          <w:rFonts w:ascii="Times New Roman" w:eastAsia="仿宋_GB2312" w:hAnsi="Times New Roman" w:cs="Times New Roman"/>
          <w:color w:val="333333"/>
          <w:kern w:val="0"/>
          <w:sz w:val="32"/>
          <w:szCs w:val="32"/>
        </w:rPr>
        <w:t>按商品总量应发而未发的商品数量</w:t>
      </w:r>
      <w:r w:rsidRPr="00E31912">
        <w:rPr>
          <w:rFonts w:ascii="Times New Roman" w:eastAsia="仿宋_GB2312" w:hAnsi="Times New Roman" w:cs="Times New Roman"/>
          <w:color w:val="333333"/>
          <w:kern w:val="0"/>
          <w:sz w:val="32"/>
          <w:szCs w:val="32"/>
        </w:rPr>
        <w:t>×120%</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第三十九条</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当厂库发生本细则第三十七条、第三十八条中的违约行为时，首先由厂库向货主支付赔偿金。厂库未支付的或者支付数额不足的，交易所按照《大连商品交易所标准仓单管理办法》相关规定处理。</w:t>
      </w:r>
    </w:p>
    <w:p w:rsidR="00E31912" w:rsidRPr="00E31912" w:rsidRDefault="00E31912" w:rsidP="00E31912">
      <w:pPr>
        <w:widowControl/>
        <w:shd w:val="clear" w:color="auto" w:fill="FFFFFF"/>
        <w:jc w:val="center"/>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第四章</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附则</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第四十条</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违反本细则规定的，交易所按照《大连商品交易所违规处理办法》和其他业务规则的有关规定处理。</w:t>
      </w:r>
    </w:p>
    <w:p w:rsidR="00E31912" w:rsidRPr="00E31912" w:rsidRDefault="00E31912" w:rsidP="00E31912">
      <w:pPr>
        <w:widowControl/>
        <w:shd w:val="clear" w:color="auto" w:fill="FFFFFF"/>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 xml:space="preserve">　　第四十一条</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本细则解释权属于大连商品交易所。</w:t>
      </w:r>
    </w:p>
    <w:p w:rsidR="00E31912" w:rsidRPr="00E31912" w:rsidRDefault="00E31912" w:rsidP="00E31912">
      <w:pPr>
        <w:widowControl/>
        <w:shd w:val="clear" w:color="auto" w:fill="FFFFFF"/>
        <w:ind w:firstLine="640"/>
        <w:rPr>
          <w:rFonts w:ascii="Times New Roman" w:eastAsia="仿宋_GB2312" w:hAnsi="Times New Roman" w:cs="Times New Roman"/>
          <w:color w:val="333333"/>
          <w:kern w:val="0"/>
          <w:sz w:val="32"/>
          <w:szCs w:val="32"/>
        </w:rPr>
      </w:pPr>
      <w:r w:rsidRPr="00E31912">
        <w:rPr>
          <w:rFonts w:ascii="Times New Roman" w:eastAsia="仿宋_GB2312" w:hAnsi="Times New Roman" w:cs="Times New Roman"/>
          <w:color w:val="333333"/>
          <w:kern w:val="0"/>
          <w:sz w:val="32"/>
          <w:szCs w:val="32"/>
        </w:rPr>
        <w:t>第四十二条</w:t>
      </w:r>
      <w:r w:rsidRPr="00E31912">
        <w:rPr>
          <w:rFonts w:ascii="Times New Roman" w:eastAsia="仿宋_GB2312" w:hAnsi="Times New Roman" w:cs="Times New Roman"/>
          <w:color w:val="333333"/>
          <w:kern w:val="0"/>
          <w:sz w:val="32"/>
          <w:szCs w:val="32"/>
        </w:rPr>
        <w:t xml:space="preserve"> </w:t>
      </w:r>
      <w:r w:rsidRPr="00E31912">
        <w:rPr>
          <w:rFonts w:ascii="Times New Roman" w:eastAsia="仿宋_GB2312" w:hAnsi="Times New Roman" w:cs="Times New Roman"/>
          <w:color w:val="333333"/>
          <w:kern w:val="0"/>
          <w:sz w:val="32"/>
          <w:szCs w:val="32"/>
        </w:rPr>
        <w:t>本细则自</w:t>
      </w:r>
      <w:r w:rsidRPr="00E31912">
        <w:rPr>
          <w:rFonts w:ascii="Times New Roman" w:eastAsia="仿宋_GB2312" w:hAnsi="Times New Roman" w:cs="Times New Roman"/>
          <w:color w:val="333333"/>
          <w:kern w:val="0"/>
          <w:sz w:val="32"/>
          <w:szCs w:val="32"/>
        </w:rPr>
        <w:t>2019</w:t>
      </w:r>
      <w:r w:rsidRPr="00E31912">
        <w:rPr>
          <w:rFonts w:ascii="Times New Roman" w:eastAsia="仿宋_GB2312" w:hAnsi="Times New Roman" w:cs="Times New Roman"/>
          <w:color w:val="333333"/>
          <w:kern w:val="0"/>
          <w:sz w:val="32"/>
          <w:szCs w:val="32"/>
        </w:rPr>
        <w:t>年</w:t>
      </w:r>
      <w:r w:rsidRPr="00E31912">
        <w:rPr>
          <w:rFonts w:ascii="Times New Roman" w:eastAsia="仿宋_GB2312" w:hAnsi="Times New Roman" w:cs="Times New Roman"/>
          <w:color w:val="333333"/>
          <w:kern w:val="0"/>
          <w:sz w:val="32"/>
          <w:szCs w:val="32"/>
        </w:rPr>
        <w:t>7</w:t>
      </w:r>
      <w:r w:rsidRPr="00E31912">
        <w:rPr>
          <w:rFonts w:ascii="Times New Roman" w:eastAsia="仿宋_GB2312" w:hAnsi="Times New Roman" w:cs="Times New Roman"/>
          <w:color w:val="333333"/>
          <w:kern w:val="0"/>
          <w:sz w:val="32"/>
          <w:szCs w:val="32"/>
        </w:rPr>
        <w:t>月</w:t>
      </w:r>
      <w:r w:rsidRPr="00E31912">
        <w:rPr>
          <w:rFonts w:ascii="Times New Roman" w:eastAsia="仿宋_GB2312" w:hAnsi="Times New Roman" w:cs="Times New Roman"/>
          <w:color w:val="333333"/>
          <w:kern w:val="0"/>
          <w:sz w:val="32"/>
          <w:szCs w:val="32"/>
        </w:rPr>
        <w:t>1</w:t>
      </w:r>
      <w:r w:rsidRPr="00E31912">
        <w:rPr>
          <w:rFonts w:ascii="Times New Roman" w:eastAsia="仿宋_GB2312" w:hAnsi="Times New Roman" w:cs="Times New Roman"/>
          <w:color w:val="333333"/>
          <w:kern w:val="0"/>
          <w:sz w:val="32"/>
          <w:szCs w:val="32"/>
        </w:rPr>
        <w:t>日起实施。</w:t>
      </w:r>
    </w:p>
    <w:p w:rsidR="00E31912" w:rsidRPr="00E31912" w:rsidRDefault="00E31912" w:rsidP="00E31912">
      <w:pPr>
        <w:widowControl/>
        <w:shd w:val="clear" w:color="auto" w:fill="FFFFFF"/>
        <w:ind w:firstLine="640"/>
        <w:rPr>
          <w:rFonts w:ascii="Times New Roman" w:eastAsia="仿宋_GB2312" w:hAnsi="Times New Roman" w:cs="Times New Roman"/>
          <w:color w:val="333333"/>
          <w:kern w:val="0"/>
          <w:sz w:val="32"/>
          <w:szCs w:val="32"/>
        </w:rPr>
      </w:pPr>
    </w:p>
    <w:p w:rsidR="00E31912" w:rsidRPr="00E31912" w:rsidRDefault="00E31912" w:rsidP="00E31912">
      <w:pPr>
        <w:widowControl/>
        <w:ind w:firstLineChars="221" w:firstLine="707"/>
        <w:jc w:val="left"/>
        <w:rPr>
          <w:rFonts w:ascii="Times New Roman" w:eastAsia="仿宋_GB2312" w:hAnsi="Times New Roman" w:cs="Times New Roman"/>
          <w:color w:val="333333"/>
          <w:sz w:val="32"/>
          <w:szCs w:val="32"/>
          <w:shd w:val="clear" w:color="auto" w:fill="FFFFFF"/>
        </w:rPr>
      </w:pPr>
      <w:r w:rsidRPr="00E31912">
        <w:rPr>
          <w:rFonts w:ascii="Times New Roman" w:eastAsia="仿宋_GB2312" w:hAnsi="Times New Roman" w:cs="Times New Roman"/>
          <w:color w:val="333333"/>
          <w:sz w:val="32"/>
          <w:szCs w:val="32"/>
          <w:shd w:val="clear" w:color="auto" w:fill="FFFFFF"/>
        </w:rPr>
        <w:lastRenderedPageBreak/>
        <w:t>附件：大连商品交易所聚氯乙烯指定交割仓库名录（略）</w:t>
      </w:r>
    </w:p>
    <w:p w:rsidR="00E31912" w:rsidRPr="00E31912" w:rsidRDefault="00E31912" w:rsidP="00E31912">
      <w:pPr>
        <w:widowControl/>
        <w:jc w:val="left"/>
        <w:rPr>
          <w:rFonts w:ascii="Times New Roman" w:eastAsia="仿宋_GB2312" w:hAnsi="Times New Roman" w:cs="Times New Roman" w:hint="eastAsia"/>
          <w:sz w:val="24"/>
          <w:szCs w:val="24"/>
        </w:rPr>
      </w:pPr>
    </w:p>
    <w:p w:rsidR="000F0464" w:rsidRDefault="000F0464"/>
    <w:sectPr w:rsidR="000F0464" w:rsidSect="007B425D">
      <w:footerReference w:type="default" r:id="rId6"/>
      <w:pgSz w:w="11906" w:h="16838"/>
      <w:pgMar w:top="2098" w:right="1588" w:bottom="17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912" w:rsidRDefault="00E31912" w:rsidP="00E31912">
      <w:r>
        <w:separator/>
      </w:r>
    </w:p>
  </w:endnote>
  <w:endnote w:type="continuationSeparator" w:id="0">
    <w:p w:rsidR="00E31912" w:rsidRDefault="00E31912" w:rsidP="00E3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762" w:rsidRDefault="00E31912" w:rsidP="00ED0762">
    <w:pPr>
      <w:pStyle w:val="a5"/>
      <w:jc w:val="center"/>
      <w:rPr>
        <w:rFonts w:hint="eastAsia"/>
      </w:rPr>
    </w:pPr>
    <w:r>
      <w:fldChar w:fldCharType="begin"/>
    </w:r>
    <w:r>
      <w:instrText>PAGE   \* MERGEFORMAT</w:instrText>
    </w:r>
    <w:r>
      <w:fldChar w:fldCharType="separate"/>
    </w:r>
    <w:r w:rsidRPr="00E31912">
      <w:rPr>
        <w:noProof/>
        <w:lang w:val="zh-CN"/>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912" w:rsidRDefault="00E31912" w:rsidP="00E31912">
      <w:r>
        <w:separator/>
      </w:r>
    </w:p>
  </w:footnote>
  <w:footnote w:type="continuationSeparator" w:id="0">
    <w:p w:rsidR="00E31912" w:rsidRDefault="00E31912" w:rsidP="00E31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C5"/>
    <w:rsid w:val="000F0464"/>
    <w:rsid w:val="00845CC5"/>
    <w:rsid w:val="00E31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39EB5"/>
  <w15:chartTrackingRefBased/>
  <w15:docId w15:val="{D1C0B66A-57C0-4FC2-ABD2-650117D6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191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31912"/>
    <w:rPr>
      <w:sz w:val="18"/>
      <w:szCs w:val="18"/>
    </w:rPr>
  </w:style>
  <w:style w:type="paragraph" w:styleId="a5">
    <w:name w:val="footer"/>
    <w:basedOn w:val="a"/>
    <w:link w:val="a6"/>
    <w:uiPriority w:val="99"/>
    <w:unhideWhenUsed/>
    <w:rsid w:val="00E31912"/>
    <w:pPr>
      <w:tabs>
        <w:tab w:val="center" w:pos="4153"/>
        <w:tab w:val="right" w:pos="8306"/>
      </w:tabs>
      <w:snapToGrid w:val="0"/>
      <w:jc w:val="left"/>
    </w:pPr>
    <w:rPr>
      <w:sz w:val="18"/>
      <w:szCs w:val="18"/>
    </w:rPr>
  </w:style>
  <w:style w:type="character" w:customStyle="1" w:styleId="a6">
    <w:name w:val="页脚 字符"/>
    <w:basedOn w:val="a0"/>
    <w:link w:val="a5"/>
    <w:uiPriority w:val="99"/>
    <w:rsid w:val="00E319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唐朝霞</dc:creator>
  <cp:keywords/>
  <dc:description/>
  <cp:lastModifiedBy>唐朝霞</cp:lastModifiedBy>
  <cp:revision>2</cp:revision>
  <dcterms:created xsi:type="dcterms:W3CDTF">2021-10-19T05:39:00Z</dcterms:created>
  <dcterms:modified xsi:type="dcterms:W3CDTF">2021-10-19T05:39:00Z</dcterms:modified>
</cp:coreProperties>
</file>