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927" w:rsidRPr="00DA4927" w:rsidRDefault="00DA4927" w:rsidP="00DA4927">
      <w:pPr>
        <w:widowControl/>
        <w:spacing w:line="580" w:lineRule="exact"/>
        <w:rPr>
          <w:rFonts w:ascii="Times New Roman" w:eastAsia="黑体" w:hAnsi="Times New Roman" w:cs="Times New Roman" w:hint="eastAsia"/>
          <w:bCs/>
          <w:color w:val="000000"/>
          <w:kern w:val="0"/>
          <w:sz w:val="32"/>
          <w:szCs w:val="32"/>
        </w:rPr>
      </w:pPr>
      <w:r w:rsidRPr="00991601">
        <w:rPr>
          <w:rFonts w:ascii="Times New Roman" w:eastAsia="黑体" w:hAnsi="Times New Roman" w:cs="Times New Roman"/>
          <w:bCs/>
          <w:color w:val="000000"/>
          <w:kern w:val="0"/>
          <w:sz w:val="32"/>
          <w:szCs w:val="32"/>
        </w:rPr>
        <w:t>附件</w:t>
      </w:r>
      <w:r>
        <w:rPr>
          <w:rFonts w:ascii="Times New Roman" w:eastAsia="黑体" w:hAnsi="Times New Roman" w:cs="Times New Roman"/>
          <w:bCs/>
          <w:color w:val="000000"/>
          <w:kern w:val="0"/>
          <w:sz w:val="32"/>
          <w:szCs w:val="32"/>
        </w:rPr>
        <w:t>5</w:t>
      </w:r>
    </w:p>
    <w:p w:rsidR="00B43E8B" w:rsidRPr="00020A4D" w:rsidRDefault="00B43E8B" w:rsidP="00B43E8B">
      <w:pPr>
        <w:pStyle w:val="21"/>
        <w:widowControl/>
        <w:adjustRightInd w:val="0"/>
        <w:snapToGrid w:val="0"/>
        <w:spacing w:beforeAutospacing="0" w:afterAutospacing="0" w:line="580" w:lineRule="exact"/>
        <w:jc w:val="center"/>
        <w:rPr>
          <w:rFonts w:ascii="Times New Roman" w:eastAsia="仿宋_GB2312" w:hAnsi="Times New Roman"/>
          <w:sz w:val="28"/>
          <w:szCs w:val="28"/>
          <w:shd w:val="clear" w:color="auto" w:fill="FFFFFF"/>
        </w:rPr>
      </w:pPr>
      <w:r>
        <w:rPr>
          <w:rFonts w:ascii="Times New Roman" w:hAnsi="Times New Roman" w:hint="eastAsia"/>
          <w:sz w:val="44"/>
          <w:szCs w:val="44"/>
        </w:rPr>
        <w:t>相关规则</w:t>
      </w:r>
      <w:r w:rsidRPr="00020A4D">
        <w:rPr>
          <w:rFonts w:ascii="Times New Roman" w:hAnsi="Times New Roman"/>
          <w:sz w:val="44"/>
          <w:szCs w:val="44"/>
        </w:rPr>
        <w:t>修改对照表</w:t>
      </w:r>
    </w:p>
    <w:p w:rsidR="00B43E8B" w:rsidRPr="00020A4D" w:rsidRDefault="00B43E8B" w:rsidP="00B43E8B">
      <w:pPr>
        <w:pStyle w:val="21"/>
        <w:widowControl/>
        <w:adjustRightInd w:val="0"/>
        <w:snapToGrid w:val="0"/>
        <w:spacing w:beforeAutospacing="0" w:afterAutospacing="0" w:line="580" w:lineRule="exact"/>
        <w:jc w:val="center"/>
        <w:rPr>
          <w:rFonts w:ascii="Times New Roman" w:hAnsi="Times New Roman"/>
          <w:sz w:val="44"/>
          <w:szCs w:val="44"/>
        </w:rPr>
      </w:pPr>
    </w:p>
    <w:p w:rsidR="00B43E8B" w:rsidRPr="00020A4D" w:rsidRDefault="00B43E8B" w:rsidP="00B43E8B">
      <w:pPr>
        <w:pStyle w:val="21"/>
        <w:widowControl/>
        <w:adjustRightInd w:val="0"/>
        <w:snapToGrid w:val="0"/>
        <w:spacing w:beforeAutospacing="0" w:afterAutospacing="0" w:line="580" w:lineRule="exact"/>
        <w:jc w:val="center"/>
        <w:rPr>
          <w:rFonts w:ascii="Times New Roman" w:hAnsi="Times New Roman"/>
          <w:sz w:val="44"/>
          <w:szCs w:val="44"/>
        </w:rPr>
      </w:pPr>
      <w:r>
        <w:rPr>
          <w:rFonts w:ascii="Times New Roman" w:hAnsi="Times New Roman" w:hint="eastAsia"/>
          <w:sz w:val="44"/>
          <w:szCs w:val="44"/>
        </w:rPr>
        <w:t>1</w:t>
      </w:r>
      <w:r>
        <w:rPr>
          <w:rFonts w:ascii="Times New Roman" w:hAnsi="Times New Roman"/>
          <w:sz w:val="44"/>
          <w:szCs w:val="44"/>
        </w:rPr>
        <w:t>.</w:t>
      </w:r>
      <w:r w:rsidRPr="00020A4D">
        <w:rPr>
          <w:rFonts w:ascii="Times New Roman" w:hAnsi="Times New Roman"/>
          <w:sz w:val="44"/>
          <w:szCs w:val="44"/>
        </w:rPr>
        <w:t>《大连商品交易所交易管理办法》</w:t>
      </w:r>
    </w:p>
    <w:p w:rsidR="00B43E8B" w:rsidRPr="00020A4D" w:rsidRDefault="00B43E8B" w:rsidP="00B43E8B">
      <w:pPr>
        <w:pStyle w:val="21"/>
        <w:widowControl/>
        <w:adjustRightInd w:val="0"/>
        <w:snapToGrid w:val="0"/>
        <w:spacing w:beforeAutospacing="0" w:afterAutospacing="0" w:line="580" w:lineRule="exact"/>
        <w:ind w:firstLineChars="600" w:firstLine="2650"/>
        <w:rPr>
          <w:rFonts w:ascii="Times New Roman" w:hAnsi="Times New Roman"/>
          <w:sz w:val="44"/>
          <w:szCs w:val="44"/>
        </w:rPr>
      </w:pPr>
      <w:r w:rsidRPr="00020A4D">
        <w:rPr>
          <w:rFonts w:ascii="Times New Roman" w:hAnsi="Times New Roman"/>
          <w:sz w:val="44"/>
          <w:szCs w:val="44"/>
        </w:rPr>
        <w:t>修改对照表</w:t>
      </w:r>
    </w:p>
    <w:p w:rsidR="00B43E8B" w:rsidRPr="00020A4D" w:rsidRDefault="00B43E8B" w:rsidP="00B43E8B">
      <w:pPr>
        <w:adjustRightInd w:val="0"/>
        <w:snapToGrid w:val="0"/>
        <w:spacing w:beforeLines="50" w:before="156" w:afterLines="50" w:after="156"/>
        <w:ind w:firstLineChars="1000" w:firstLine="2400"/>
        <w:rPr>
          <w:rFonts w:ascii="Times New Roman" w:eastAsia="宋体" w:hAnsi="Times New Roman" w:cs="Times New Roman"/>
          <w:kern w:val="0"/>
          <w:sz w:val="24"/>
        </w:rPr>
      </w:pPr>
      <w:r w:rsidRPr="00020A4D">
        <w:rPr>
          <w:rFonts w:ascii="Times New Roman" w:eastAsia="宋体" w:hAnsi="Times New Roman" w:cs="Times New Roman"/>
          <w:sz w:val="24"/>
          <w:szCs w:val="24"/>
          <w:shd w:val="clear" w:color="auto" w:fill="FFFFFF"/>
        </w:rPr>
        <w:t>（</w:t>
      </w:r>
      <w:r w:rsidRPr="00EB3850">
        <w:rPr>
          <w:rFonts w:ascii="楷体" w:eastAsia="楷体" w:hAnsi="楷体" w:cs="Times New Roman" w:hint="eastAsia"/>
          <w:kern w:val="0"/>
          <w:sz w:val="24"/>
          <w:szCs w:val="24"/>
        </w:rPr>
        <w:t>阴影部分为新增内容。</w:t>
      </w:r>
      <w:r w:rsidRPr="00020A4D">
        <w:rPr>
          <w:rFonts w:ascii="Times New Roman" w:eastAsia="宋体" w:hAnsi="Times New Roman" w:cs="Times New Roman"/>
          <w:kern w:val="0"/>
          <w:sz w:val="24"/>
          <w:szCs w:val="24"/>
        </w:rPr>
        <w:t>）</w:t>
      </w:r>
    </w:p>
    <w:tbl>
      <w:tblPr>
        <w:tblStyle w:val="a4"/>
        <w:tblW w:w="10310" w:type="dxa"/>
        <w:jc w:val="center"/>
        <w:tblLayout w:type="fixed"/>
        <w:tblLook w:val="04A0" w:firstRow="1" w:lastRow="0" w:firstColumn="1" w:lastColumn="0" w:noHBand="0" w:noVBand="1"/>
      </w:tblPr>
      <w:tblGrid>
        <w:gridCol w:w="4957"/>
        <w:gridCol w:w="5353"/>
      </w:tblGrid>
      <w:tr w:rsidR="00B43E8B" w:rsidRPr="00020A4D" w:rsidTr="00EB3850">
        <w:trPr>
          <w:jc w:val="center"/>
        </w:trPr>
        <w:tc>
          <w:tcPr>
            <w:tcW w:w="4957" w:type="dxa"/>
          </w:tcPr>
          <w:p w:rsidR="00B43E8B" w:rsidRPr="00020A4D" w:rsidRDefault="00B43E8B" w:rsidP="00EB3850">
            <w:pPr>
              <w:jc w:val="center"/>
              <w:rPr>
                <w:rFonts w:eastAsia="仿宋_GB2312"/>
                <w:b/>
                <w:bCs/>
                <w:sz w:val="28"/>
                <w:szCs w:val="28"/>
              </w:rPr>
            </w:pPr>
            <w:r w:rsidRPr="00020A4D">
              <w:rPr>
                <w:rFonts w:eastAsia="仿宋_GB2312"/>
                <w:b/>
                <w:bCs/>
                <w:sz w:val="28"/>
                <w:szCs w:val="28"/>
              </w:rPr>
              <w:t>原条文</w:t>
            </w:r>
          </w:p>
        </w:tc>
        <w:tc>
          <w:tcPr>
            <w:tcW w:w="5353" w:type="dxa"/>
          </w:tcPr>
          <w:p w:rsidR="00B43E8B" w:rsidRPr="00020A4D" w:rsidRDefault="00B43E8B" w:rsidP="00EB3850">
            <w:pPr>
              <w:jc w:val="center"/>
              <w:rPr>
                <w:rFonts w:eastAsia="仿宋_GB2312"/>
                <w:b/>
                <w:bCs/>
                <w:sz w:val="28"/>
                <w:szCs w:val="28"/>
              </w:rPr>
            </w:pPr>
            <w:r w:rsidRPr="00020A4D">
              <w:rPr>
                <w:rFonts w:eastAsia="仿宋_GB2312"/>
                <w:b/>
                <w:bCs/>
                <w:sz w:val="28"/>
                <w:szCs w:val="28"/>
              </w:rPr>
              <w:t>修改后条文</w:t>
            </w:r>
          </w:p>
        </w:tc>
      </w:tr>
      <w:tr w:rsidR="00B43E8B" w:rsidRPr="00020A4D" w:rsidTr="00EB3850">
        <w:trPr>
          <w:jc w:val="center"/>
        </w:trPr>
        <w:tc>
          <w:tcPr>
            <w:tcW w:w="4957" w:type="dxa"/>
          </w:tcPr>
          <w:p w:rsidR="00B43E8B" w:rsidRPr="00020A4D" w:rsidRDefault="00B43E8B" w:rsidP="00EB3850">
            <w:pPr>
              <w:adjustRightInd w:val="0"/>
              <w:snapToGrid w:val="0"/>
              <w:spacing w:line="580" w:lineRule="exact"/>
              <w:ind w:firstLineChars="200" w:firstLine="643"/>
              <w:rPr>
                <w:rFonts w:eastAsia="仿宋_GB2312"/>
                <w:sz w:val="28"/>
                <w:szCs w:val="28"/>
              </w:rPr>
            </w:pPr>
            <w:r w:rsidRPr="00020A4D">
              <w:rPr>
                <w:rFonts w:eastAsia="仿宋_GB2312"/>
                <w:b/>
                <w:bCs/>
                <w:sz w:val="32"/>
                <w:szCs w:val="32"/>
              </w:rPr>
              <w:t>第四十七条</w:t>
            </w:r>
            <w:r w:rsidRPr="00020A4D">
              <w:rPr>
                <w:rFonts w:eastAsia="仿宋_GB2312"/>
                <w:sz w:val="32"/>
                <w:szCs w:val="32"/>
              </w:rPr>
              <w:t xml:space="preserve"> </w:t>
            </w:r>
            <w:r w:rsidRPr="00020A4D">
              <w:rPr>
                <w:rFonts w:eastAsia="仿宋_GB2312"/>
                <w:sz w:val="32"/>
                <w:szCs w:val="32"/>
              </w:rPr>
              <w:t>境内交易者可以通过期货公司会员开户从事期货交易，境外交易者可以通过期货公司会员、境外特殊经纪参与者或境外中介机构开户从事期货交易。</w:t>
            </w:r>
          </w:p>
        </w:tc>
        <w:tc>
          <w:tcPr>
            <w:tcW w:w="5353" w:type="dxa"/>
          </w:tcPr>
          <w:p w:rsidR="00B43E8B" w:rsidRPr="00020A4D" w:rsidRDefault="00B43E8B" w:rsidP="00EB3850">
            <w:pPr>
              <w:spacing w:line="580" w:lineRule="exact"/>
              <w:ind w:firstLineChars="200" w:firstLine="643"/>
              <w:rPr>
                <w:rFonts w:eastAsia="仿宋_GB2312"/>
                <w:sz w:val="24"/>
              </w:rPr>
            </w:pPr>
            <w:r w:rsidRPr="00020A4D">
              <w:rPr>
                <w:rFonts w:eastAsia="仿宋"/>
                <w:b/>
                <w:bCs/>
                <w:sz w:val="32"/>
                <w:szCs w:val="32"/>
              </w:rPr>
              <w:t>第四十七条</w:t>
            </w:r>
            <w:r w:rsidRPr="00020A4D">
              <w:rPr>
                <w:rFonts w:eastAsia="仿宋"/>
                <w:sz w:val="32"/>
                <w:szCs w:val="32"/>
              </w:rPr>
              <w:t xml:space="preserve"> </w:t>
            </w:r>
            <w:r w:rsidRPr="00020A4D">
              <w:rPr>
                <w:rFonts w:eastAsia="仿宋"/>
                <w:sz w:val="32"/>
                <w:szCs w:val="32"/>
              </w:rPr>
              <w:t>境内交易者</w:t>
            </w:r>
            <w:r w:rsidRPr="00020A4D">
              <w:rPr>
                <w:rFonts w:eastAsia="仿宋"/>
                <w:sz w:val="32"/>
                <w:szCs w:val="32"/>
                <w:shd w:val="clear" w:color="FFFFFF" w:fill="D9D9D9"/>
              </w:rPr>
              <w:t>、合格境外机构投资者和人民币合格境外机构投资者（以下统称合格境外投资者）</w:t>
            </w:r>
            <w:r w:rsidRPr="00020A4D">
              <w:rPr>
                <w:rFonts w:eastAsia="仿宋"/>
                <w:sz w:val="32"/>
                <w:szCs w:val="32"/>
              </w:rPr>
              <w:t>可以通过期货公司会员开户从事期货交易，境外交易者可以通过期货公司会员、境外特殊经纪参与者或境外中介机构开户从事期货交易。</w:t>
            </w:r>
          </w:p>
        </w:tc>
      </w:tr>
      <w:tr w:rsidR="00B43E8B" w:rsidRPr="00020A4D" w:rsidTr="00EB3850">
        <w:trPr>
          <w:jc w:val="center"/>
        </w:trPr>
        <w:tc>
          <w:tcPr>
            <w:tcW w:w="4957" w:type="dxa"/>
          </w:tcPr>
          <w:p w:rsidR="00B43E8B" w:rsidRPr="00020A4D" w:rsidRDefault="00B43E8B" w:rsidP="00EB3850">
            <w:pPr>
              <w:adjustRightInd w:val="0"/>
              <w:snapToGrid w:val="0"/>
              <w:spacing w:line="580" w:lineRule="exact"/>
              <w:ind w:firstLineChars="200" w:firstLine="643"/>
              <w:rPr>
                <w:rFonts w:eastAsia="仿宋_GB2312"/>
                <w:sz w:val="32"/>
                <w:szCs w:val="32"/>
              </w:rPr>
            </w:pPr>
            <w:r w:rsidRPr="00020A4D">
              <w:rPr>
                <w:rFonts w:eastAsia="仿宋_GB2312"/>
                <w:b/>
                <w:bCs/>
                <w:sz w:val="32"/>
                <w:szCs w:val="32"/>
              </w:rPr>
              <w:t>第四十八条</w:t>
            </w:r>
            <w:r w:rsidRPr="00020A4D">
              <w:rPr>
                <w:rFonts w:eastAsia="仿宋_GB2312"/>
                <w:sz w:val="32"/>
                <w:szCs w:val="32"/>
              </w:rPr>
              <w:t xml:space="preserve"> </w:t>
            </w:r>
            <w:r w:rsidRPr="00020A4D">
              <w:rPr>
                <w:rFonts w:eastAsia="仿宋_GB2312"/>
                <w:sz w:val="32"/>
                <w:szCs w:val="32"/>
              </w:rPr>
              <w:t>期货公司会员、境外特殊经纪参与者和境外中介机构（以下简称开户机构）应当按照中国证监会、中国期货市场监控中心有限责任公司（以下简称监控中心）和交易所的要求，为客户办理交易编码申请等开户手续。</w:t>
            </w:r>
          </w:p>
          <w:p w:rsidR="00B43E8B" w:rsidRPr="00020A4D" w:rsidRDefault="00B43E8B" w:rsidP="00EB3850">
            <w:pPr>
              <w:adjustRightInd w:val="0"/>
              <w:snapToGrid w:val="0"/>
              <w:spacing w:line="580" w:lineRule="exact"/>
              <w:ind w:firstLineChars="200" w:firstLine="640"/>
              <w:rPr>
                <w:rFonts w:eastAsia="仿宋_GB2312"/>
                <w:sz w:val="32"/>
                <w:szCs w:val="32"/>
              </w:rPr>
            </w:pPr>
            <w:r w:rsidRPr="00020A4D">
              <w:rPr>
                <w:rFonts w:eastAsia="仿宋_GB2312"/>
                <w:sz w:val="32"/>
                <w:szCs w:val="32"/>
              </w:rPr>
              <w:t>根据中国法律、法规和规章规定，需要对资产进行分户管理的期货公司、证券公司、基金管理公司、</w:t>
            </w:r>
            <w:r w:rsidRPr="00020A4D">
              <w:rPr>
                <w:rFonts w:eastAsia="仿宋_GB2312"/>
                <w:sz w:val="32"/>
                <w:szCs w:val="32"/>
              </w:rPr>
              <w:lastRenderedPageBreak/>
              <w:t>信托公司和其他金融机构，以及社会保障类公司等特殊单位客户，可以按照监控中心的规定申请交易编码。</w:t>
            </w:r>
          </w:p>
          <w:p w:rsidR="00B43E8B" w:rsidRPr="00020A4D" w:rsidRDefault="00B43E8B" w:rsidP="00EB3850">
            <w:pPr>
              <w:adjustRightInd w:val="0"/>
              <w:snapToGrid w:val="0"/>
              <w:spacing w:line="580" w:lineRule="exact"/>
              <w:ind w:firstLineChars="200" w:firstLine="560"/>
              <w:rPr>
                <w:rFonts w:eastAsia="仿宋_GB2312"/>
                <w:sz w:val="28"/>
                <w:szCs w:val="28"/>
              </w:rPr>
            </w:pPr>
          </w:p>
        </w:tc>
        <w:tc>
          <w:tcPr>
            <w:tcW w:w="5353" w:type="dxa"/>
          </w:tcPr>
          <w:p w:rsidR="00B43E8B" w:rsidRPr="00020A4D" w:rsidRDefault="00B43E8B" w:rsidP="00EB3850">
            <w:pPr>
              <w:spacing w:line="580" w:lineRule="exact"/>
              <w:ind w:firstLineChars="200" w:firstLine="643"/>
              <w:rPr>
                <w:rFonts w:eastAsia="仿宋_GB2312"/>
                <w:sz w:val="32"/>
                <w:szCs w:val="32"/>
              </w:rPr>
            </w:pPr>
            <w:r w:rsidRPr="00020A4D">
              <w:rPr>
                <w:rFonts w:eastAsia="仿宋_GB2312"/>
                <w:b/>
                <w:bCs/>
                <w:sz w:val="32"/>
                <w:szCs w:val="32"/>
              </w:rPr>
              <w:lastRenderedPageBreak/>
              <w:t>第四十八条</w:t>
            </w:r>
            <w:r w:rsidRPr="00020A4D">
              <w:rPr>
                <w:rFonts w:eastAsia="仿宋_GB2312"/>
                <w:b/>
                <w:bCs/>
                <w:sz w:val="32"/>
                <w:szCs w:val="32"/>
              </w:rPr>
              <w:t xml:space="preserve"> </w:t>
            </w:r>
            <w:r w:rsidRPr="00020A4D">
              <w:rPr>
                <w:rFonts w:eastAsia="仿宋_GB2312"/>
                <w:sz w:val="32"/>
                <w:szCs w:val="32"/>
              </w:rPr>
              <w:t>期货公司会员、境外特殊经纪参与者和境外中介机构（以下简称开户机构）应当按照中国证监会、中国期货市场监控中心有限责任公司（以下简称监控中心）和交易所的要求，为客户办理交易编码申请等开户手续。</w:t>
            </w:r>
          </w:p>
          <w:p w:rsidR="00B43E8B" w:rsidRPr="00020A4D" w:rsidRDefault="00B43E8B" w:rsidP="00EB3850">
            <w:pPr>
              <w:spacing w:line="580" w:lineRule="exact"/>
              <w:rPr>
                <w:rFonts w:eastAsia="仿宋_GB2312"/>
                <w:sz w:val="32"/>
                <w:szCs w:val="32"/>
              </w:rPr>
            </w:pPr>
            <w:r w:rsidRPr="00020A4D">
              <w:rPr>
                <w:rFonts w:eastAsia="仿宋_GB2312"/>
                <w:sz w:val="32"/>
                <w:szCs w:val="32"/>
              </w:rPr>
              <w:t xml:space="preserve">　　根据中国法律、法规和规章规定，需要对资产进行分户管理的期货公司、证券公司、基金管理公司、信托</w:t>
            </w:r>
            <w:r w:rsidRPr="00020A4D">
              <w:rPr>
                <w:rFonts w:eastAsia="仿宋_GB2312"/>
                <w:sz w:val="32"/>
                <w:szCs w:val="32"/>
              </w:rPr>
              <w:lastRenderedPageBreak/>
              <w:t>公司</w:t>
            </w:r>
            <w:r w:rsidRPr="00020A4D">
              <w:rPr>
                <w:rFonts w:eastAsia="仿宋_GB2312"/>
                <w:sz w:val="32"/>
                <w:szCs w:val="32"/>
                <w:shd w:val="clear" w:color="FFFFFF" w:fill="D9D9D9"/>
              </w:rPr>
              <w:t>、合格境外投资者</w:t>
            </w:r>
            <w:r w:rsidRPr="00020A4D">
              <w:rPr>
                <w:rFonts w:eastAsia="仿宋_GB2312"/>
                <w:sz w:val="32"/>
                <w:szCs w:val="32"/>
              </w:rPr>
              <w:t>和其他金融机构，以及社会保障类公司等特殊单位客户，可以按照监控中心的规定申请交易编码。</w:t>
            </w:r>
          </w:p>
          <w:p w:rsidR="00B43E8B" w:rsidRPr="00020A4D" w:rsidRDefault="00B43E8B" w:rsidP="00EB3850">
            <w:pPr>
              <w:pStyle w:val="a3"/>
              <w:widowControl/>
              <w:shd w:val="clear" w:color="auto" w:fill="FFFFFF"/>
              <w:adjustRightInd w:val="0"/>
              <w:snapToGrid w:val="0"/>
              <w:spacing w:beforeAutospacing="0" w:afterAutospacing="0" w:line="580" w:lineRule="exact"/>
              <w:ind w:firstLine="563"/>
              <w:jc w:val="both"/>
              <w:rPr>
                <w:rFonts w:eastAsia="仿宋_GB2312"/>
                <w:sz w:val="32"/>
                <w:szCs w:val="32"/>
                <w:shd w:val="clear" w:color="auto" w:fill="FFFFFF"/>
              </w:rPr>
            </w:pPr>
          </w:p>
        </w:tc>
      </w:tr>
    </w:tbl>
    <w:p w:rsidR="00B43E8B" w:rsidRPr="00020A4D" w:rsidRDefault="00B43E8B" w:rsidP="00B43E8B">
      <w:pPr>
        <w:pStyle w:val="a3"/>
        <w:adjustRightInd w:val="0"/>
        <w:snapToGrid w:val="0"/>
        <w:spacing w:beforeAutospacing="0" w:afterAutospacing="0" w:line="580" w:lineRule="exact"/>
        <w:ind w:firstLineChars="228" w:firstLine="730"/>
        <w:jc w:val="both"/>
        <w:rPr>
          <w:rFonts w:ascii="Times New Roman" w:eastAsia="仿宋_GB2312" w:hAnsi="Times New Roman"/>
          <w:sz w:val="32"/>
          <w:szCs w:val="32"/>
          <w:shd w:val="clear" w:color="auto" w:fill="FFFFFF"/>
        </w:rPr>
      </w:pPr>
    </w:p>
    <w:p w:rsidR="00B43E8B" w:rsidRPr="00020A4D" w:rsidRDefault="00B43E8B" w:rsidP="00B43E8B">
      <w:pPr>
        <w:pStyle w:val="a3"/>
        <w:widowControl/>
        <w:shd w:val="clear" w:color="auto" w:fill="FFFFFF"/>
        <w:spacing w:beforeAutospacing="0" w:afterAutospacing="0"/>
        <w:jc w:val="both"/>
        <w:rPr>
          <w:rFonts w:ascii="Times New Roman" w:eastAsia="仿宋_GB2312" w:hAnsi="Times New Roman"/>
          <w:sz w:val="28"/>
          <w:szCs w:val="28"/>
          <w:shd w:val="clear" w:color="auto" w:fill="FFFFFF"/>
        </w:rPr>
      </w:pPr>
      <w:r w:rsidRPr="00020A4D">
        <w:rPr>
          <w:rFonts w:ascii="Times New Roman" w:eastAsia="仿宋_GB2312" w:hAnsi="Times New Roman"/>
          <w:sz w:val="28"/>
          <w:szCs w:val="28"/>
          <w:shd w:val="clear" w:color="auto" w:fill="FFFFFF"/>
        </w:rPr>
        <w:br w:type="page"/>
      </w:r>
      <w:bookmarkStart w:id="0" w:name="_GoBack"/>
      <w:bookmarkEnd w:id="0"/>
    </w:p>
    <w:p w:rsidR="00B43E8B" w:rsidRPr="00020A4D" w:rsidRDefault="00B43E8B" w:rsidP="00B43E8B">
      <w:pPr>
        <w:pStyle w:val="a3"/>
        <w:adjustRightInd w:val="0"/>
        <w:snapToGrid w:val="0"/>
        <w:spacing w:beforeAutospacing="0" w:afterAutospacing="0" w:line="580" w:lineRule="exact"/>
        <w:jc w:val="center"/>
        <w:rPr>
          <w:rFonts w:ascii="Times New Roman" w:eastAsiaTheme="majorEastAsia" w:hAnsi="Times New Roman"/>
          <w:b/>
          <w:bCs/>
          <w:sz w:val="44"/>
          <w:szCs w:val="44"/>
          <w:shd w:val="clear" w:color="auto" w:fill="FFFFFF"/>
        </w:rPr>
      </w:pPr>
    </w:p>
    <w:p w:rsidR="00B43E8B" w:rsidRDefault="00B43E8B" w:rsidP="00B43E8B">
      <w:pPr>
        <w:pStyle w:val="a3"/>
        <w:adjustRightInd w:val="0"/>
        <w:snapToGrid w:val="0"/>
        <w:spacing w:beforeAutospacing="0" w:afterAutospacing="0" w:line="580" w:lineRule="exact"/>
        <w:jc w:val="center"/>
        <w:rPr>
          <w:rFonts w:ascii="Times New Roman" w:eastAsia="宋体" w:hAnsi="Times New Roman"/>
          <w:b/>
          <w:bCs/>
          <w:sz w:val="44"/>
          <w:szCs w:val="44"/>
        </w:rPr>
      </w:pPr>
      <w:r>
        <w:rPr>
          <w:rFonts w:ascii="Times New Roman" w:eastAsia="宋体" w:hAnsi="Times New Roman" w:hint="eastAsia"/>
          <w:b/>
          <w:bCs/>
          <w:sz w:val="44"/>
          <w:szCs w:val="44"/>
        </w:rPr>
        <w:t>2</w:t>
      </w:r>
      <w:r>
        <w:rPr>
          <w:rFonts w:ascii="Times New Roman" w:eastAsia="宋体" w:hAnsi="Times New Roman"/>
          <w:b/>
          <w:bCs/>
          <w:sz w:val="44"/>
          <w:szCs w:val="44"/>
        </w:rPr>
        <w:t>.</w:t>
      </w:r>
      <w:proofErr w:type="gramStart"/>
      <w:r w:rsidRPr="00020A4D">
        <w:rPr>
          <w:rFonts w:ascii="Times New Roman" w:eastAsia="宋体" w:hAnsi="Times New Roman"/>
          <w:b/>
          <w:bCs/>
          <w:sz w:val="44"/>
          <w:szCs w:val="44"/>
        </w:rPr>
        <w:t>《</w:t>
      </w:r>
      <w:proofErr w:type="gramEnd"/>
      <w:r w:rsidRPr="00020A4D">
        <w:rPr>
          <w:rFonts w:ascii="Times New Roman" w:eastAsia="宋体" w:hAnsi="Times New Roman"/>
          <w:b/>
          <w:bCs/>
          <w:sz w:val="44"/>
          <w:szCs w:val="44"/>
        </w:rPr>
        <w:t>大连商品交易所指定存管银行管理</w:t>
      </w:r>
    </w:p>
    <w:p w:rsidR="00B43E8B" w:rsidRPr="003074DD" w:rsidRDefault="00B43E8B" w:rsidP="00B43E8B">
      <w:pPr>
        <w:pStyle w:val="a3"/>
        <w:adjustRightInd w:val="0"/>
        <w:snapToGrid w:val="0"/>
        <w:spacing w:beforeAutospacing="0" w:afterAutospacing="0" w:line="580" w:lineRule="exact"/>
        <w:jc w:val="center"/>
        <w:rPr>
          <w:rFonts w:ascii="Times New Roman" w:eastAsiaTheme="majorEastAsia" w:hAnsi="Times New Roman"/>
          <w:b/>
          <w:bCs/>
          <w:sz w:val="44"/>
          <w:szCs w:val="44"/>
          <w:shd w:val="clear" w:color="auto" w:fill="FFFFFF"/>
        </w:rPr>
      </w:pPr>
      <w:r w:rsidRPr="00020A4D">
        <w:rPr>
          <w:rFonts w:ascii="Times New Roman" w:eastAsia="宋体" w:hAnsi="Times New Roman"/>
          <w:b/>
          <w:bCs/>
          <w:sz w:val="44"/>
          <w:szCs w:val="44"/>
        </w:rPr>
        <w:t>办法</w:t>
      </w:r>
      <w:proofErr w:type="gramStart"/>
      <w:r w:rsidRPr="00020A4D">
        <w:rPr>
          <w:rFonts w:ascii="Times New Roman" w:eastAsia="宋体" w:hAnsi="Times New Roman"/>
          <w:b/>
          <w:bCs/>
          <w:sz w:val="44"/>
          <w:szCs w:val="44"/>
        </w:rPr>
        <w:t>》</w:t>
      </w:r>
      <w:proofErr w:type="gramEnd"/>
      <w:r w:rsidRPr="00A024D7">
        <w:rPr>
          <w:rFonts w:ascii="宋体" w:eastAsia="宋体" w:hAnsi="宋体"/>
          <w:b/>
          <w:bCs/>
          <w:sz w:val="44"/>
          <w:szCs w:val="44"/>
          <w:shd w:val="clear" w:color="auto" w:fill="FFFFFF"/>
        </w:rPr>
        <w:t>修改对照表</w:t>
      </w:r>
    </w:p>
    <w:p w:rsidR="00B43E8B" w:rsidRPr="00020A4D" w:rsidRDefault="00B43E8B" w:rsidP="00B43E8B">
      <w:pPr>
        <w:jc w:val="center"/>
        <w:rPr>
          <w:rFonts w:ascii="Times New Roman" w:eastAsia="宋体" w:hAnsi="Times New Roman" w:cs="Times New Roman"/>
          <w:kern w:val="0"/>
          <w:sz w:val="24"/>
        </w:rPr>
      </w:pPr>
      <w:r w:rsidRPr="00020A4D">
        <w:rPr>
          <w:rFonts w:ascii="Times New Roman" w:eastAsia="宋体" w:hAnsi="Times New Roman" w:cs="Times New Roman"/>
          <w:sz w:val="24"/>
          <w:szCs w:val="24"/>
          <w:shd w:val="clear" w:color="auto" w:fill="FFFFFF"/>
        </w:rPr>
        <w:t>（</w:t>
      </w:r>
      <w:r w:rsidRPr="00020A4D">
        <w:rPr>
          <w:rFonts w:ascii="Times New Roman" w:eastAsia="楷体" w:hAnsi="Times New Roman" w:cs="Times New Roman"/>
          <w:color w:val="000000"/>
          <w:sz w:val="24"/>
          <w:szCs w:val="24"/>
        </w:rPr>
        <w:t>阴影部分为新增内容，</w:t>
      </w:r>
      <w:r w:rsidRPr="00020A4D">
        <w:rPr>
          <w:rFonts w:ascii="Times New Roman" w:eastAsia="楷体" w:hAnsi="Times New Roman" w:cs="Times New Roman"/>
          <w:color w:val="000000"/>
          <w:sz w:val="24"/>
          <w:szCs w:val="24"/>
        </w:rPr>
        <w:t>“……”</w:t>
      </w:r>
      <w:r w:rsidRPr="00020A4D">
        <w:rPr>
          <w:rFonts w:ascii="Times New Roman" w:eastAsia="楷体" w:hAnsi="Times New Roman" w:cs="Times New Roman"/>
          <w:color w:val="000000"/>
          <w:sz w:val="24"/>
          <w:szCs w:val="24"/>
        </w:rPr>
        <w:t>（省略号）含义为该条款未修改的其他内容。</w:t>
      </w:r>
      <w:r w:rsidRPr="00020A4D">
        <w:rPr>
          <w:rFonts w:ascii="Times New Roman" w:eastAsia="宋体" w:hAnsi="Times New Roman" w:cs="Times New Roman"/>
          <w:kern w:val="0"/>
          <w:sz w:val="24"/>
          <w:szCs w:val="24"/>
        </w:rPr>
        <w:t>）</w:t>
      </w:r>
    </w:p>
    <w:tbl>
      <w:tblPr>
        <w:tblStyle w:val="a4"/>
        <w:tblW w:w="10310" w:type="dxa"/>
        <w:jc w:val="center"/>
        <w:tblLayout w:type="fixed"/>
        <w:tblLook w:val="04A0" w:firstRow="1" w:lastRow="0" w:firstColumn="1" w:lastColumn="0" w:noHBand="0" w:noVBand="1"/>
      </w:tblPr>
      <w:tblGrid>
        <w:gridCol w:w="5098"/>
        <w:gridCol w:w="5212"/>
      </w:tblGrid>
      <w:tr w:rsidR="00B43E8B" w:rsidRPr="00020A4D" w:rsidTr="00EB3850">
        <w:trPr>
          <w:jc w:val="center"/>
        </w:trPr>
        <w:tc>
          <w:tcPr>
            <w:tcW w:w="5098" w:type="dxa"/>
          </w:tcPr>
          <w:p w:rsidR="00B43E8B" w:rsidRPr="00020A4D" w:rsidRDefault="00B43E8B" w:rsidP="00EB3850">
            <w:pPr>
              <w:jc w:val="center"/>
              <w:rPr>
                <w:rFonts w:eastAsia="仿宋_GB2312"/>
                <w:b/>
                <w:bCs/>
                <w:sz w:val="28"/>
                <w:szCs w:val="28"/>
              </w:rPr>
            </w:pPr>
            <w:r w:rsidRPr="00020A4D">
              <w:rPr>
                <w:rFonts w:eastAsia="仿宋_GB2312"/>
                <w:b/>
                <w:bCs/>
                <w:sz w:val="28"/>
                <w:szCs w:val="28"/>
              </w:rPr>
              <w:t>原条文</w:t>
            </w:r>
          </w:p>
        </w:tc>
        <w:tc>
          <w:tcPr>
            <w:tcW w:w="5212" w:type="dxa"/>
          </w:tcPr>
          <w:p w:rsidR="00B43E8B" w:rsidRPr="00020A4D" w:rsidRDefault="00B43E8B" w:rsidP="00EB3850">
            <w:pPr>
              <w:jc w:val="center"/>
              <w:rPr>
                <w:rFonts w:eastAsia="仿宋_GB2312"/>
                <w:b/>
                <w:bCs/>
                <w:sz w:val="28"/>
                <w:szCs w:val="28"/>
              </w:rPr>
            </w:pPr>
            <w:r w:rsidRPr="00020A4D">
              <w:rPr>
                <w:rFonts w:eastAsia="仿宋_GB2312"/>
                <w:b/>
                <w:bCs/>
                <w:sz w:val="28"/>
                <w:szCs w:val="28"/>
              </w:rPr>
              <w:t>修改后条文</w:t>
            </w:r>
          </w:p>
        </w:tc>
      </w:tr>
      <w:tr w:rsidR="00B43E8B" w:rsidRPr="00020A4D" w:rsidTr="00EB3850">
        <w:trPr>
          <w:jc w:val="center"/>
        </w:trPr>
        <w:tc>
          <w:tcPr>
            <w:tcW w:w="5098" w:type="dxa"/>
          </w:tcPr>
          <w:p w:rsidR="00B43E8B" w:rsidRPr="00020A4D" w:rsidRDefault="00B43E8B" w:rsidP="00EB3850">
            <w:pPr>
              <w:pStyle w:val="a3"/>
              <w:adjustRightInd w:val="0"/>
              <w:snapToGrid w:val="0"/>
              <w:spacing w:beforeAutospacing="0" w:afterAutospacing="0" w:line="580" w:lineRule="exact"/>
              <w:ind w:firstLineChars="228" w:firstLine="732"/>
              <w:jc w:val="both"/>
              <w:rPr>
                <w:rFonts w:eastAsia="仿宋_GB2312"/>
                <w:kern w:val="2"/>
                <w:sz w:val="32"/>
                <w:szCs w:val="32"/>
              </w:rPr>
            </w:pPr>
            <w:r w:rsidRPr="00020A4D">
              <w:rPr>
                <w:rFonts w:eastAsia="仿宋_GB2312"/>
                <w:b/>
                <w:bCs/>
                <w:kern w:val="2"/>
                <w:sz w:val="32"/>
                <w:szCs w:val="32"/>
              </w:rPr>
              <w:t>第四条</w:t>
            </w:r>
            <w:r w:rsidRPr="00020A4D">
              <w:rPr>
                <w:rFonts w:eastAsia="仿宋_GB2312"/>
                <w:kern w:val="2"/>
                <w:sz w:val="32"/>
                <w:szCs w:val="32"/>
              </w:rPr>
              <w:t xml:space="preserve"> </w:t>
            </w:r>
            <w:r w:rsidRPr="00020A4D">
              <w:rPr>
                <w:rFonts w:eastAsia="仿宋_GB2312"/>
                <w:kern w:val="2"/>
                <w:sz w:val="32"/>
                <w:szCs w:val="32"/>
              </w:rPr>
              <w:t>交易所期货保证金存管业务分为境内客户保证金存管业务和境外客户保证金存管业务。</w:t>
            </w:r>
          </w:p>
          <w:p w:rsidR="00B43E8B" w:rsidRPr="00020A4D" w:rsidRDefault="00B43E8B" w:rsidP="00EB3850">
            <w:pPr>
              <w:pStyle w:val="a3"/>
              <w:adjustRightInd w:val="0"/>
              <w:snapToGrid w:val="0"/>
              <w:spacing w:beforeAutospacing="0" w:afterAutospacing="0" w:line="580" w:lineRule="exact"/>
              <w:ind w:firstLineChars="228" w:firstLine="730"/>
              <w:jc w:val="both"/>
              <w:rPr>
                <w:rFonts w:eastAsia="仿宋_GB2312"/>
                <w:kern w:val="2"/>
                <w:sz w:val="32"/>
                <w:szCs w:val="32"/>
              </w:rPr>
            </w:pPr>
            <w:r w:rsidRPr="00020A4D">
              <w:rPr>
                <w:rFonts w:eastAsia="仿宋_GB2312"/>
                <w:kern w:val="2"/>
                <w:sz w:val="32"/>
                <w:szCs w:val="32"/>
              </w:rPr>
              <w:t>境内客户保证金存管业务是指从事与会员、境内客户相关的保证金存管业务；境外客户保证金存管业务是指从事与境外特殊参与者、境外中介机构、境外客户相关的保证金存管业务。</w:t>
            </w:r>
          </w:p>
          <w:p w:rsidR="00B43E8B" w:rsidRPr="00020A4D" w:rsidRDefault="00B43E8B" w:rsidP="00EB3850">
            <w:pPr>
              <w:pStyle w:val="a3"/>
              <w:adjustRightInd w:val="0"/>
              <w:snapToGrid w:val="0"/>
              <w:spacing w:beforeAutospacing="0" w:afterAutospacing="0" w:line="580" w:lineRule="exact"/>
              <w:ind w:firstLineChars="228" w:firstLine="638"/>
              <w:jc w:val="both"/>
              <w:rPr>
                <w:rFonts w:eastAsia="仿宋_GB2312"/>
                <w:kern w:val="2"/>
                <w:sz w:val="28"/>
                <w:szCs w:val="28"/>
              </w:rPr>
            </w:pPr>
          </w:p>
        </w:tc>
        <w:tc>
          <w:tcPr>
            <w:tcW w:w="5212" w:type="dxa"/>
          </w:tcPr>
          <w:p w:rsidR="00B43E8B" w:rsidRPr="00020A4D" w:rsidRDefault="00B43E8B" w:rsidP="00EB3850">
            <w:pPr>
              <w:widowControl/>
              <w:shd w:val="clear" w:color="auto" w:fill="FFFFFF"/>
              <w:spacing w:line="580" w:lineRule="exact"/>
              <w:ind w:firstLineChars="200" w:firstLine="643"/>
              <w:rPr>
                <w:rFonts w:eastAsia="仿宋_GB2312"/>
                <w:sz w:val="32"/>
                <w:szCs w:val="32"/>
              </w:rPr>
            </w:pPr>
            <w:r w:rsidRPr="00020A4D">
              <w:rPr>
                <w:rFonts w:eastAsia="仿宋_GB2312"/>
                <w:b/>
                <w:bCs/>
                <w:sz w:val="32"/>
                <w:szCs w:val="32"/>
              </w:rPr>
              <w:t>第四条</w:t>
            </w:r>
            <w:r w:rsidRPr="00020A4D">
              <w:rPr>
                <w:rFonts w:eastAsia="仿宋_GB2312"/>
                <w:sz w:val="32"/>
                <w:szCs w:val="32"/>
              </w:rPr>
              <w:t xml:space="preserve"> </w:t>
            </w:r>
            <w:r w:rsidRPr="00020A4D">
              <w:rPr>
                <w:rFonts w:eastAsia="仿宋_GB2312"/>
                <w:sz w:val="32"/>
                <w:szCs w:val="32"/>
              </w:rPr>
              <w:t>交易所期货保证金存管业务分为境内客户保证金存管业务和境外客户保证金存管业务。</w:t>
            </w:r>
          </w:p>
          <w:p w:rsidR="00B43E8B" w:rsidRPr="00020A4D" w:rsidRDefault="00B43E8B" w:rsidP="00EB3850">
            <w:pPr>
              <w:widowControl/>
              <w:shd w:val="clear" w:color="auto" w:fill="FFFFFF"/>
              <w:spacing w:line="580" w:lineRule="exact"/>
              <w:ind w:firstLineChars="200" w:firstLine="640"/>
              <w:rPr>
                <w:rFonts w:eastAsia="仿宋_GB2312"/>
                <w:sz w:val="32"/>
                <w:szCs w:val="32"/>
              </w:rPr>
            </w:pPr>
            <w:r w:rsidRPr="00020A4D">
              <w:rPr>
                <w:rFonts w:eastAsia="仿宋_GB2312"/>
                <w:sz w:val="32"/>
                <w:szCs w:val="32"/>
              </w:rPr>
              <w:t>境内客户保证金存管业务是指从事与会员、境内客户相关的保证金存管业务；境外客户保证金存管业务是指从事与境外特殊参与者、境外中介机构、境外客户相关的保证金存管业务。</w:t>
            </w:r>
          </w:p>
          <w:p w:rsidR="00B43E8B" w:rsidRPr="00020A4D" w:rsidRDefault="00B43E8B" w:rsidP="00EB3850">
            <w:pPr>
              <w:pStyle w:val="a3"/>
              <w:adjustRightInd w:val="0"/>
              <w:snapToGrid w:val="0"/>
              <w:spacing w:beforeAutospacing="0" w:afterAutospacing="0" w:line="580" w:lineRule="exact"/>
              <w:ind w:firstLineChars="228" w:firstLine="730"/>
              <w:jc w:val="both"/>
              <w:rPr>
                <w:rFonts w:eastAsia="仿宋_GB2312"/>
              </w:rPr>
            </w:pPr>
            <w:r w:rsidRPr="00020A4D">
              <w:rPr>
                <w:rFonts w:eastAsia="仿宋_GB2312"/>
                <w:sz w:val="32"/>
                <w:szCs w:val="32"/>
                <w:shd w:val="clear" w:color="FFFFFF" w:fill="D9D9D9"/>
              </w:rPr>
              <w:t>合格境外机构投资者和人民币合格境外机构投资者（以下统称合格境外投资者）适用境内客户保证金存管业务相关规定。</w:t>
            </w:r>
          </w:p>
        </w:tc>
      </w:tr>
      <w:tr w:rsidR="00B43E8B" w:rsidRPr="00020A4D" w:rsidTr="00EB3850">
        <w:trPr>
          <w:jc w:val="center"/>
        </w:trPr>
        <w:tc>
          <w:tcPr>
            <w:tcW w:w="5098" w:type="dxa"/>
          </w:tcPr>
          <w:p w:rsidR="00B43E8B" w:rsidRPr="00020A4D" w:rsidRDefault="00B43E8B" w:rsidP="00EB3850">
            <w:pPr>
              <w:adjustRightInd w:val="0"/>
              <w:snapToGrid w:val="0"/>
              <w:spacing w:line="580" w:lineRule="exact"/>
              <w:ind w:firstLineChars="200" w:firstLine="643"/>
              <w:rPr>
                <w:rFonts w:eastAsia="仿宋_GB2312"/>
                <w:sz w:val="32"/>
                <w:szCs w:val="32"/>
                <w:shd w:val="clear" w:color="auto" w:fill="FFFFFF"/>
                <w:lang w:bidi="ar"/>
              </w:rPr>
            </w:pPr>
            <w:r w:rsidRPr="00020A4D">
              <w:rPr>
                <w:rFonts w:eastAsia="仿宋_GB2312"/>
                <w:b/>
                <w:bCs/>
                <w:sz w:val="32"/>
                <w:szCs w:val="32"/>
                <w:shd w:val="clear" w:color="auto" w:fill="FFFFFF"/>
                <w:lang w:bidi="ar"/>
              </w:rPr>
              <w:t>第六条</w:t>
            </w:r>
            <w:r w:rsidRPr="00020A4D">
              <w:rPr>
                <w:rFonts w:eastAsia="仿宋_GB2312"/>
                <w:sz w:val="32"/>
                <w:szCs w:val="32"/>
                <w:shd w:val="clear" w:color="auto" w:fill="FFFFFF"/>
                <w:lang w:bidi="ar"/>
              </w:rPr>
              <w:t xml:space="preserve"> </w:t>
            </w:r>
            <w:r w:rsidRPr="00020A4D">
              <w:rPr>
                <w:rFonts w:eastAsia="仿宋_GB2312"/>
                <w:sz w:val="32"/>
                <w:szCs w:val="32"/>
                <w:shd w:val="clear" w:color="auto" w:fill="FFFFFF"/>
                <w:lang w:bidi="ar"/>
              </w:rPr>
              <w:t>申请从事境内客户期货保证金存管业务，申请银行应当满足本办法第五条的规定，并具备以下条件：</w:t>
            </w:r>
          </w:p>
          <w:p w:rsidR="00B43E8B" w:rsidRPr="00020A4D" w:rsidRDefault="00B43E8B" w:rsidP="00EB3850">
            <w:pPr>
              <w:adjustRightInd w:val="0"/>
              <w:snapToGrid w:val="0"/>
              <w:spacing w:line="580" w:lineRule="exact"/>
              <w:ind w:firstLineChars="200" w:firstLine="640"/>
              <w:rPr>
                <w:rFonts w:eastAsia="仿宋_GB2312"/>
                <w:sz w:val="32"/>
                <w:szCs w:val="32"/>
                <w:shd w:val="clear" w:color="auto" w:fill="FFFFFF"/>
                <w:lang w:bidi="ar"/>
              </w:rPr>
            </w:pPr>
            <w:r w:rsidRPr="00020A4D">
              <w:rPr>
                <w:rFonts w:eastAsia="仿宋_GB2312"/>
                <w:sz w:val="32"/>
                <w:szCs w:val="32"/>
                <w:shd w:val="clear" w:color="auto" w:fill="FFFFFF"/>
                <w:lang w:bidi="ar"/>
              </w:rPr>
              <w:t>（一）注册资本达到</w:t>
            </w:r>
            <w:r w:rsidRPr="00020A4D">
              <w:rPr>
                <w:rFonts w:eastAsia="仿宋_GB2312"/>
                <w:sz w:val="32"/>
                <w:szCs w:val="32"/>
                <w:shd w:val="clear" w:color="auto" w:fill="FFFFFF"/>
                <w:lang w:bidi="ar"/>
              </w:rPr>
              <w:t>100</w:t>
            </w:r>
            <w:r w:rsidRPr="00020A4D">
              <w:rPr>
                <w:rFonts w:eastAsia="仿宋_GB2312"/>
                <w:sz w:val="32"/>
                <w:szCs w:val="32"/>
                <w:shd w:val="clear" w:color="auto" w:fill="FFFFFF"/>
                <w:lang w:bidi="ar"/>
              </w:rPr>
              <w:t>亿元人民币，最近</w:t>
            </w:r>
            <w:r w:rsidRPr="00020A4D">
              <w:rPr>
                <w:rFonts w:eastAsia="仿宋_GB2312"/>
                <w:sz w:val="32"/>
                <w:szCs w:val="32"/>
                <w:shd w:val="clear" w:color="auto" w:fill="FFFFFF"/>
                <w:lang w:bidi="ar"/>
              </w:rPr>
              <w:t>3</w:t>
            </w:r>
            <w:r w:rsidRPr="00020A4D">
              <w:rPr>
                <w:rFonts w:eastAsia="仿宋_GB2312"/>
                <w:sz w:val="32"/>
                <w:szCs w:val="32"/>
                <w:shd w:val="clear" w:color="auto" w:fill="FFFFFF"/>
                <w:lang w:bidi="ar"/>
              </w:rPr>
              <w:t>个会计年度连续盈利；</w:t>
            </w:r>
          </w:p>
          <w:p w:rsidR="00B43E8B" w:rsidRPr="00020A4D" w:rsidRDefault="00B43E8B" w:rsidP="00EB3850">
            <w:pPr>
              <w:adjustRightInd w:val="0"/>
              <w:snapToGrid w:val="0"/>
              <w:spacing w:line="580" w:lineRule="exact"/>
              <w:ind w:firstLineChars="200" w:firstLine="640"/>
              <w:rPr>
                <w:rFonts w:eastAsia="仿宋_GB2312"/>
                <w:sz w:val="32"/>
                <w:szCs w:val="32"/>
                <w:shd w:val="clear" w:color="auto" w:fill="FFFFFF"/>
                <w:lang w:bidi="ar"/>
              </w:rPr>
            </w:pPr>
            <w:r w:rsidRPr="00020A4D">
              <w:rPr>
                <w:rFonts w:eastAsia="仿宋_GB2312"/>
                <w:sz w:val="32"/>
                <w:szCs w:val="32"/>
                <w:shd w:val="clear" w:color="auto" w:fill="FFFFFF"/>
                <w:lang w:bidi="ar"/>
              </w:rPr>
              <w:t>（二）总资产在</w:t>
            </w:r>
            <w:r w:rsidRPr="00020A4D">
              <w:rPr>
                <w:rFonts w:eastAsia="仿宋_GB2312"/>
                <w:sz w:val="32"/>
                <w:szCs w:val="32"/>
                <w:shd w:val="clear" w:color="auto" w:fill="FFFFFF"/>
                <w:lang w:bidi="ar"/>
              </w:rPr>
              <w:t>15000</w:t>
            </w:r>
            <w:r w:rsidRPr="00020A4D">
              <w:rPr>
                <w:rFonts w:eastAsia="仿宋_GB2312"/>
                <w:sz w:val="32"/>
                <w:szCs w:val="32"/>
                <w:shd w:val="clear" w:color="auto" w:fill="FFFFFF"/>
                <w:lang w:bidi="ar"/>
              </w:rPr>
              <w:t>亿元人民币以上，资本净额在</w:t>
            </w:r>
            <w:r w:rsidRPr="00020A4D">
              <w:rPr>
                <w:rFonts w:eastAsia="仿宋_GB2312"/>
                <w:sz w:val="32"/>
                <w:szCs w:val="32"/>
                <w:shd w:val="clear" w:color="auto" w:fill="FFFFFF"/>
                <w:lang w:bidi="ar"/>
              </w:rPr>
              <w:t>1000</w:t>
            </w:r>
            <w:r w:rsidRPr="00020A4D">
              <w:rPr>
                <w:rFonts w:eastAsia="仿宋_GB2312"/>
                <w:sz w:val="32"/>
                <w:szCs w:val="32"/>
                <w:shd w:val="clear" w:color="auto" w:fill="FFFFFF"/>
                <w:lang w:bidi="ar"/>
              </w:rPr>
              <w:t>亿元人民币以上；</w:t>
            </w:r>
          </w:p>
          <w:p w:rsidR="00B43E8B" w:rsidRPr="00020A4D" w:rsidRDefault="00B43E8B" w:rsidP="00EB3850">
            <w:pPr>
              <w:adjustRightInd w:val="0"/>
              <w:snapToGrid w:val="0"/>
              <w:spacing w:line="580" w:lineRule="exact"/>
              <w:ind w:firstLineChars="200" w:firstLine="640"/>
              <w:rPr>
                <w:rFonts w:eastAsia="仿宋_GB2312"/>
                <w:sz w:val="32"/>
                <w:szCs w:val="32"/>
                <w:shd w:val="clear" w:color="auto" w:fill="FFFFFF"/>
                <w:lang w:bidi="ar"/>
              </w:rPr>
            </w:pPr>
            <w:r w:rsidRPr="00020A4D">
              <w:rPr>
                <w:rFonts w:eastAsia="仿宋_GB2312"/>
                <w:sz w:val="32"/>
                <w:szCs w:val="32"/>
                <w:shd w:val="clear" w:color="auto" w:fill="FFFFFF"/>
                <w:lang w:bidi="ar"/>
              </w:rPr>
              <w:t>（三）境内分支机构</w:t>
            </w:r>
            <w:r w:rsidRPr="00020A4D">
              <w:rPr>
                <w:rFonts w:eastAsia="仿宋_GB2312"/>
                <w:sz w:val="32"/>
                <w:szCs w:val="32"/>
                <w:shd w:val="clear" w:color="auto" w:fill="FFFFFF"/>
                <w:lang w:bidi="ar"/>
              </w:rPr>
              <w:t>600</w:t>
            </w:r>
            <w:r w:rsidRPr="00020A4D">
              <w:rPr>
                <w:rFonts w:eastAsia="仿宋_GB2312"/>
                <w:sz w:val="32"/>
                <w:szCs w:val="32"/>
                <w:shd w:val="clear" w:color="auto" w:fill="FFFFFF"/>
                <w:lang w:bidi="ar"/>
              </w:rPr>
              <w:t>个以上。</w:t>
            </w:r>
          </w:p>
          <w:p w:rsidR="00B43E8B" w:rsidRPr="00020A4D" w:rsidRDefault="00B43E8B" w:rsidP="00EB3850">
            <w:pPr>
              <w:adjustRightInd w:val="0"/>
              <w:snapToGrid w:val="0"/>
              <w:spacing w:line="580" w:lineRule="exact"/>
              <w:ind w:firstLineChars="200" w:firstLine="640"/>
              <w:rPr>
                <w:rFonts w:eastAsia="仿宋_GB2312"/>
                <w:sz w:val="32"/>
                <w:szCs w:val="32"/>
                <w:shd w:val="clear" w:color="auto" w:fill="FFFFFF"/>
                <w:lang w:bidi="ar"/>
              </w:rPr>
            </w:pPr>
            <w:r w:rsidRPr="00020A4D">
              <w:rPr>
                <w:rFonts w:eastAsia="仿宋_GB2312"/>
                <w:sz w:val="32"/>
                <w:szCs w:val="32"/>
                <w:shd w:val="clear" w:color="auto" w:fill="FFFFFF"/>
                <w:lang w:bidi="ar"/>
              </w:rPr>
              <w:t>与交易所上市品种密切相关的政策性银行，申请从事交易所期货保证金存管业务资格的，不适用第五条第一款第（一）项规定，不适用本条第一款第（一）至（三）项规定。</w:t>
            </w:r>
          </w:p>
          <w:p w:rsidR="00B43E8B" w:rsidRPr="00020A4D" w:rsidRDefault="00B43E8B" w:rsidP="00EB3850">
            <w:pPr>
              <w:adjustRightInd w:val="0"/>
              <w:snapToGrid w:val="0"/>
              <w:spacing w:line="580" w:lineRule="exact"/>
              <w:ind w:firstLineChars="200" w:firstLine="640"/>
              <w:rPr>
                <w:rFonts w:eastAsia="仿宋_GB2312"/>
                <w:sz w:val="32"/>
                <w:szCs w:val="32"/>
                <w:shd w:val="clear" w:color="auto" w:fill="FFFFFF"/>
                <w:lang w:bidi="ar"/>
              </w:rPr>
            </w:pPr>
          </w:p>
        </w:tc>
        <w:tc>
          <w:tcPr>
            <w:tcW w:w="5212" w:type="dxa"/>
          </w:tcPr>
          <w:p w:rsidR="00B43E8B" w:rsidRPr="00020A4D" w:rsidRDefault="00B43E8B" w:rsidP="00EB3850">
            <w:pPr>
              <w:widowControl/>
              <w:shd w:val="clear" w:color="auto" w:fill="FFFFFF"/>
              <w:spacing w:line="580" w:lineRule="exact"/>
              <w:ind w:firstLineChars="200" w:firstLine="643"/>
              <w:rPr>
                <w:rFonts w:eastAsia="仿宋_GB2312"/>
                <w:sz w:val="32"/>
                <w:szCs w:val="32"/>
                <w:shd w:val="clear" w:color="auto" w:fill="FFFFFF"/>
              </w:rPr>
            </w:pPr>
            <w:r w:rsidRPr="00020A4D">
              <w:rPr>
                <w:rFonts w:eastAsia="仿宋_GB2312"/>
                <w:b/>
                <w:bCs/>
                <w:sz w:val="32"/>
                <w:szCs w:val="32"/>
                <w:shd w:val="clear" w:color="auto" w:fill="FFFFFF"/>
              </w:rPr>
              <w:t>第六条</w:t>
            </w:r>
            <w:r w:rsidRPr="00020A4D">
              <w:rPr>
                <w:rFonts w:eastAsia="仿宋_GB2312"/>
                <w:b/>
                <w:bCs/>
                <w:sz w:val="32"/>
                <w:szCs w:val="32"/>
                <w:shd w:val="clear" w:color="auto" w:fill="FFFFFF"/>
              </w:rPr>
              <w:t xml:space="preserve"> </w:t>
            </w:r>
            <w:r w:rsidRPr="00020A4D">
              <w:rPr>
                <w:rFonts w:eastAsia="仿宋_GB2312"/>
                <w:sz w:val="32"/>
                <w:szCs w:val="32"/>
                <w:shd w:val="clear" w:color="auto" w:fill="FFFFFF"/>
              </w:rPr>
              <w:t>申请从事境内客户期货保证金存管业务，申请银行应当满足本办法第五条的规定，并具备以下条件：</w:t>
            </w:r>
          </w:p>
          <w:p w:rsidR="00B43E8B" w:rsidRPr="00020A4D" w:rsidRDefault="00B43E8B" w:rsidP="00EB3850">
            <w:pPr>
              <w:widowControl/>
              <w:shd w:val="clear" w:color="auto" w:fill="FFFFFF"/>
              <w:spacing w:line="580" w:lineRule="exact"/>
              <w:ind w:firstLineChars="200" w:firstLine="640"/>
              <w:rPr>
                <w:rFonts w:eastAsia="仿宋_GB2312"/>
                <w:sz w:val="32"/>
                <w:szCs w:val="32"/>
                <w:shd w:val="clear" w:color="auto" w:fill="FFFFFF"/>
              </w:rPr>
            </w:pPr>
            <w:r w:rsidRPr="00020A4D">
              <w:rPr>
                <w:rFonts w:eastAsia="仿宋_GB2312"/>
                <w:sz w:val="32"/>
                <w:szCs w:val="32"/>
                <w:shd w:val="clear" w:color="auto" w:fill="FFFFFF"/>
              </w:rPr>
              <w:t>（一）注册资本达到</w:t>
            </w:r>
            <w:r w:rsidRPr="00020A4D">
              <w:rPr>
                <w:rFonts w:eastAsia="仿宋_GB2312"/>
                <w:sz w:val="32"/>
                <w:szCs w:val="32"/>
                <w:shd w:val="clear" w:color="auto" w:fill="FFFFFF"/>
              </w:rPr>
              <w:t>100</w:t>
            </w:r>
            <w:r w:rsidRPr="00020A4D">
              <w:rPr>
                <w:rFonts w:eastAsia="仿宋_GB2312"/>
                <w:sz w:val="32"/>
                <w:szCs w:val="32"/>
                <w:shd w:val="clear" w:color="auto" w:fill="FFFFFF"/>
              </w:rPr>
              <w:t>亿元人民币，最近</w:t>
            </w:r>
            <w:r w:rsidRPr="00020A4D">
              <w:rPr>
                <w:rFonts w:eastAsia="仿宋_GB2312"/>
                <w:sz w:val="32"/>
                <w:szCs w:val="32"/>
                <w:shd w:val="clear" w:color="auto" w:fill="FFFFFF"/>
              </w:rPr>
              <w:t>3</w:t>
            </w:r>
            <w:r w:rsidRPr="00020A4D">
              <w:rPr>
                <w:rFonts w:eastAsia="仿宋_GB2312"/>
                <w:sz w:val="32"/>
                <w:szCs w:val="32"/>
                <w:shd w:val="clear" w:color="auto" w:fill="FFFFFF"/>
              </w:rPr>
              <w:t>个会计年度连续盈利；</w:t>
            </w:r>
          </w:p>
          <w:p w:rsidR="00B43E8B" w:rsidRPr="00020A4D" w:rsidRDefault="00B43E8B" w:rsidP="00EB3850">
            <w:pPr>
              <w:widowControl/>
              <w:shd w:val="clear" w:color="auto" w:fill="FFFFFF"/>
              <w:spacing w:line="580" w:lineRule="exact"/>
              <w:ind w:firstLineChars="200" w:firstLine="640"/>
              <w:rPr>
                <w:rFonts w:eastAsia="仿宋_GB2312"/>
                <w:sz w:val="32"/>
                <w:szCs w:val="32"/>
                <w:shd w:val="clear" w:color="auto" w:fill="FFFFFF"/>
              </w:rPr>
            </w:pPr>
            <w:r w:rsidRPr="00020A4D">
              <w:rPr>
                <w:rFonts w:eastAsia="仿宋_GB2312"/>
                <w:sz w:val="32"/>
                <w:szCs w:val="32"/>
                <w:shd w:val="clear" w:color="auto" w:fill="FFFFFF"/>
              </w:rPr>
              <w:t>（二）总资产在</w:t>
            </w:r>
            <w:r w:rsidRPr="00020A4D">
              <w:rPr>
                <w:rFonts w:eastAsia="仿宋_GB2312"/>
                <w:sz w:val="32"/>
                <w:szCs w:val="32"/>
                <w:shd w:val="clear" w:color="auto" w:fill="FFFFFF"/>
              </w:rPr>
              <w:t>15000</w:t>
            </w:r>
            <w:r w:rsidRPr="00020A4D">
              <w:rPr>
                <w:rFonts w:eastAsia="仿宋_GB2312"/>
                <w:sz w:val="32"/>
                <w:szCs w:val="32"/>
                <w:shd w:val="clear" w:color="auto" w:fill="FFFFFF"/>
              </w:rPr>
              <w:t>亿元人民币以上，资本净额在</w:t>
            </w:r>
            <w:r w:rsidRPr="00020A4D">
              <w:rPr>
                <w:rFonts w:eastAsia="仿宋_GB2312"/>
                <w:sz w:val="32"/>
                <w:szCs w:val="32"/>
                <w:shd w:val="clear" w:color="auto" w:fill="FFFFFF"/>
              </w:rPr>
              <w:t>1000</w:t>
            </w:r>
            <w:r w:rsidRPr="00020A4D">
              <w:rPr>
                <w:rFonts w:eastAsia="仿宋_GB2312"/>
                <w:sz w:val="32"/>
                <w:szCs w:val="32"/>
                <w:shd w:val="clear" w:color="auto" w:fill="FFFFFF"/>
              </w:rPr>
              <w:t>亿元人民币以上；</w:t>
            </w:r>
          </w:p>
          <w:p w:rsidR="00B43E8B" w:rsidRPr="00020A4D" w:rsidRDefault="00B43E8B" w:rsidP="00EB3850">
            <w:pPr>
              <w:widowControl/>
              <w:shd w:val="clear" w:color="auto" w:fill="FFFFFF"/>
              <w:spacing w:line="580" w:lineRule="exact"/>
              <w:ind w:firstLineChars="200" w:firstLine="640"/>
              <w:rPr>
                <w:rFonts w:eastAsia="仿宋_GB2312"/>
                <w:dstrike/>
                <w:sz w:val="32"/>
                <w:szCs w:val="32"/>
                <w:shd w:val="clear" w:color="auto" w:fill="7F7F7F"/>
              </w:rPr>
            </w:pPr>
            <w:r w:rsidRPr="00020A4D">
              <w:rPr>
                <w:rFonts w:eastAsia="仿宋_GB2312"/>
                <w:sz w:val="32"/>
                <w:szCs w:val="32"/>
                <w:shd w:val="clear" w:color="auto" w:fill="FFFFFF"/>
              </w:rPr>
              <w:t>（三）境内分支机构</w:t>
            </w:r>
            <w:r w:rsidRPr="00020A4D">
              <w:rPr>
                <w:rFonts w:eastAsia="仿宋_GB2312"/>
                <w:sz w:val="32"/>
                <w:szCs w:val="32"/>
                <w:shd w:val="clear" w:color="auto" w:fill="FFFFFF"/>
              </w:rPr>
              <w:t>600</w:t>
            </w:r>
            <w:r w:rsidRPr="00020A4D">
              <w:rPr>
                <w:rFonts w:eastAsia="仿宋_GB2312"/>
                <w:sz w:val="32"/>
                <w:szCs w:val="32"/>
                <w:shd w:val="clear" w:color="auto" w:fill="FFFFFF"/>
              </w:rPr>
              <w:t>个以上。</w:t>
            </w:r>
          </w:p>
          <w:p w:rsidR="00B43E8B" w:rsidRPr="00020A4D" w:rsidRDefault="00B43E8B" w:rsidP="00EB3850">
            <w:pPr>
              <w:widowControl/>
              <w:shd w:val="clear" w:color="auto" w:fill="FFFFFF"/>
              <w:spacing w:line="580" w:lineRule="exact"/>
              <w:ind w:firstLineChars="200" w:firstLine="640"/>
              <w:rPr>
                <w:rFonts w:eastAsia="仿宋_GB2312"/>
                <w:sz w:val="32"/>
                <w:szCs w:val="32"/>
                <w:shd w:val="clear" w:color="auto" w:fill="FFFFFF"/>
              </w:rPr>
            </w:pPr>
            <w:r w:rsidRPr="00020A4D">
              <w:rPr>
                <w:rFonts w:eastAsia="仿宋_GB2312"/>
                <w:sz w:val="32"/>
                <w:szCs w:val="32"/>
                <w:shd w:val="clear" w:color="auto" w:fill="FFFFFF"/>
              </w:rPr>
              <w:t>与交易所上市品种密切相关的政策性银行，申请从事交易所期货保证金存管业务资格的，不适用第五条第一款第（一）项规定，不适用本条第一款第（一）至（三）项规定。</w:t>
            </w:r>
          </w:p>
          <w:p w:rsidR="00B43E8B" w:rsidRPr="00020A4D" w:rsidRDefault="00B43E8B" w:rsidP="00EB3850">
            <w:pPr>
              <w:widowControl/>
              <w:shd w:val="clear" w:color="auto" w:fill="FFFFFF"/>
              <w:spacing w:line="580" w:lineRule="exact"/>
              <w:ind w:firstLineChars="200" w:firstLine="640"/>
              <w:rPr>
                <w:rFonts w:eastAsia="仿宋_GB2312"/>
                <w:sz w:val="32"/>
                <w:szCs w:val="32"/>
                <w:shd w:val="clear" w:color="auto" w:fill="7F7F7F"/>
              </w:rPr>
            </w:pPr>
            <w:r w:rsidRPr="00020A4D">
              <w:rPr>
                <w:rFonts w:eastAsia="仿宋_GB2312"/>
                <w:sz w:val="32"/>
                <w:szCs w:val="32"/>
                <w:shd w:val="clear" w:color="auto" w:fill="D9D9D9"/>
              </w:rPr>
              <w:t>对于合格境外投资者的托管银行，申请仅为其托管的合格境外投资者开展期货保证金存管业务的</w:t>
            </w:r>
            <w:r w:rsidRPr="00020A4D">
              <w:rPr>
                <w:rFonts w:eastAsia="仿宋_GB2312"/>
                <w:sz w:val="32"/>
                <w:szCs w:val="32"/>
                <w:shd w:val="clear" w:color="auto" w:fill="D9D9D9"/>
              </w:rPr>
              <w:t>,</w:t>
            </w:r>
            <w:r w:rsidRPr="00020A4D">
              <w:rPr>
                <w:rFonts w:eastAsia="仿宋_GB2312"/>
                <w:sz w:val="32"/>
                <w:szCs w:val="32"/>
                <w:shd w:val="clear" w:color="auto" w:fill="D9D9D9"/>
              </w:rPr>
              <w:t>不适用第五条第一款第（一）项规定，不适用本条第一款第（一）至（三）项规定。</w:t>
            </w:r>
          </w:p>
          <w:p w:rsidR="00B43E8B" w:rsidRPr="00020A4D" w:rsidRDefault="00B43E8B" w:rsidP="00EB3850">
            <w:pPr>
              <w:pStyle w:val="a3"/>
              <w:widowControl/>
              <w:adjustRightInd w:val="0"/>
              <w:snapToGrid w:val="0"/>
              <w:spacing w:beforeAutospacing="0" w:afterAutospacing="0" w:line="580" w:lineRule="exact"/>
              <w:ind w:firstLineChars="192" w:firstLine="614"/>
              <w:jc w:val="both"/>
              <w:rPr>
                <w:rFonts w:eastAsia="仿宋_GB2312"/>
                <w:sz w:val="32"/>
                <w:szCs w:val="32"/>
                <w:shd w:val="clear" w:color="auto" w:fill="FFFFFF"/>
              </w:rPr>
            </w:pPr>
          </w:p>
        </w:tc>
      </w:tr>
      <w:tr w:rsidR="00B43E8B" w:rsidRPr="00020A4D" w:rsidTr="00EB3850">
        <w:trPr>
          <w:jc w:val="center"/>
        </w:trPr>
        <w:tc>
          <w:tcPr>
            <w:tcW w:w="5098" w:type="dxa"/>
          </w:tcPr>
          <w:p w:rsidR="00B43E8B" w:rsidRPr="00020A4D" w:rsidRDefault="00B43E8B" w:rsidP="00EB3850">
            <w:pPr>
              <w:adjustRightInd w:val="0"/>
              <w:snapToGrid w:val="0"/>
              <w:spacing w:line="580" w:lineRule="exact"/>
              <w:ind w:firstLineChars="200" w:firstLine="643"/>
              <w:rPr>
                <w:rFonts w:eastAsia="仿宋_GB2312"/>
                <w:sz w:val="32"/>
                <w:szCs w:val="32"/>
                <w:shd w:val="clear" w:color="auto" w:fill="FFFFFF"/>
                <w:lang w:bidi="ar"/>
              </w:rPr>
            </w:pPr>
            <w:r w:rsidRPr="00020A4D">
              <w:rPr>
                <w:rFonts w:eastAsia="仿宋_GB2312"/>
                <w:b/>
                <w:bCs/>
                <w:sz w:val="32"/>
                <w:szCs w:val="32"/>
                <w:shd w:val="clear" w:color="auto" w:fill="FFFFFF"/>
                <w:lang w:bidi="ar"/>
              </w:rPr>
              <w:t>第五十一条</w:t>
            </w:r>
            <w:r w:rsidRPr="00020A4D">
              <w:rPr>
                <w:rFonts w:eastAsia="仿宋_GB2312"/>
                <w:sz w:val="32"/>
                <w:szCs w:val="32"/>
                <w:shd w:val="clear" w:color="auto" w:fill="FFFFFF"/>
                <w:lang w:bidi="ar"/>
              </w:rPr>
              <w:t xml:space="preserve"> </w:t>
            </w:r>
            <w:r w:rsidRPr="00020A4D">
              <w:rPr>
                <w:rFonts w:eastAsia="仿宋_GB2312"/>
                <w:sz w:val="32"/>
                <w:szCs w:val="32"/>
                <w:shd w:val="clear" w:color="auto" w:fill="FFFFFF"/>
                <w:lang w:bidi="ar"/>
              </w:rPr>
              <w:t>存管银行出现下列情况之一的，责令改正，并根据情节轻重，采取警告、通报批评、暂停新增会员的存管业务等措施：</w:t>
            </w:r>
          </w:p>
          <w:p w:rsidR="00B43E8B" w:rsidRPr="00020A4D" w:rsidRDefault="00B43E8B" w:rsidP="00EB3850">
            <w:pPr>
              <w:adjustRightInd w:val="0"/>
              <w:snapToGrid w:val="0"/>
              <w:spacing w:line="580" w:lineRule="exact"/>
              <w:ind w:firstLineChars="200" w:firstLine="640"/>
              <w:rPr>
                <w:rFonts w:eastAsia="仿宋_GB2312"/>
                <w:sz w:val="32"/>
                <w:szCs w:val="32"/>
                <w:shd w:val="clear" w:color="auto" w:fill="FFFFFF"/>
                <w:lang w:bidi="ar"/>
              </w:rPr>
            </w:pPr>
            <w:r w:rsidRPr="00020A4D">
              <w:rPr>
                <w:rFonts w:eastAsia="仿宋_GB2312"/>
                <w:sz w:val="32"/>
                <w:szCs w:val="32"/>
                <w:shd w:val="clear" w:color="auto" w:fill="FFFFFF"/>
                <w:lang w:bidi="ar"/>
              </w:rPr>
              <w:t>(</w:t>
            </w:r>
            <w:proofErr w:type="gramStart"/>
            <w:r w:rsidRPr="00020A4D">
              <w:rPr>
                <w:rFonts w:eastAsia="仿宋_GB2312"/>
                <w:sz w:val="32"/>
                <w:szCs w:val="32"/>
                <w:shd w:val="clear" w:color="auto" w:fill="FFFFFF"/>
                <w:lang w:bidi="ar"/>
              </w:rPr>
              <w:t>一</w:t>
            </w:r>
            <w:proofErr w:type="gramEnd"/>
            <w:r w:rsidRPr="00020A4D">
              <w:rPr>
                <w:rFonts w:eastAsia="仿宋_GB2312"/>
                <w:sz w:val="32"/>
                <w:szCs w:val="32"/>
                <w:shd w:val="clear" w:color="auto" w:fill="FFFFFF"/>
                <w:lang w:bidi="ar"/>
              </w:rPr>
              <w:t xml:space="preserve">) </w:t>
            </w:r>
            <w:r w:rsidRPr="00020A4D">
              <w:rPr>
                <w:rFonts w:eastAsia="仿宋_GB2312"/>
                <w:sz w:val="32"/>
                <w:szCs w:val="32"/>
                <w:shd w:val="clear" w:color="auto" w:fill="FFFFFF"/>
                <w:lang w:bidi="ar"/>
              </w:rPr>
              <w:t>未履行本细则以及与交易所签订的业务协议规定的义务，或者违反交易所其他业务规则的；</w:t>
            </w:r>
          </w:p>
          <w:p w:rsidR="00B43E8B" w:rsidRPr="00020A4D" w:rsidRDefault="00B43E8B" w:rsidP="00EB3850">
            <w:pPr>
              <w:adjustRightInd w:val="0"/>
              <w:snapToGrid w:val="0"/>
              <w:spacing w:line="580" w:lineRule="exact"/>
              <w:ind w:firstLineChars="200" w:firstLine="640"/>
              <w:rPr>
                <w:rFonts w:eastAsia="仿宋_GB2312"/>
                <w:sz w:val="32"/>
                <w:szCs w:val="32"/>
                <w:shd w:val="clear" w:color="auto" w:fill="FFFFFF"/>
                <w:lang w:bidi="ar"/>
              </w:rPr>
            </w:pPr>
            <w:r w:rsidRPr="00020A4D">
              <w:rPr>
                <w:rFonts w:eastAsia="仿宋_GB2312"/>
                <w:sz w:val="32"/>
                <w:szCs w:val="32"/>
                <w:shd w:val="clear" w:color="auto" w:fill="FFFFFF"/>
                <w:lang w:bidi="ar"/>
              </w:rPr>
              <w:t>......</w:t>
            </w:r>
          </w:p>
        </w:tc>
        <w:tc>
          <w:tcPr>
            <w:tcW w:w="5212" w:type="dxa"/>
          </w:tcPr>
          <w:p w:rsidR="00B43E8B" w:rsidRPr="00020A4D" w:rsidRDefault="00B43E8B" w:rsidP="00EB3850">
            <w:pPr>
              <w:widowControl/>
              <w:shd w:val="clear" w:color="auto" w:fill="FFFFFF"/>
              <w:spacing w:line="580" w:lineRule="exact"/>
              <w:ind w:firstLineChars="200" w:firstLine="643"/>
              <w:rPr>
                <w:rFonts w:eastAsia="仿宋_GB2312"/>
                <w:sz w:val="32"/>
                <w:szCs w:val="32"/>
              </w:rPr>
            </w:pPr>
            <w:r w:rsidRPr="00020A4D">
              <w:rPr>
                <w:rFonts w:eastAsia="仿宋_GB2312"/>
                <w:b/>
                <w:bCs/>
                <w:sz w:val="32"/>
                <w:szCs w:val="32"/>
              </w:rPr>
              <w:t>第五十一条</w:t>
            </w:r>
            <w:r w:rsidRPr="00020A4D">
              <w:rPr>
                <w:rFonts w:eastAsia="仿宋_GB2312"/>
                <w:b/>
                <w:bCs/>
                <w:sz w:val="32"/>
                <w:szCs w:val="32"/>
              </w:rPr>
              <w:t xml:space="preserve"> </w:t>
            </w:r>
            <w:r w:rsidRPr="00020A4D">
              <w:rPr>
                <w:rFonts w:eastAsia="仿宋_GB2312"/>
                <w:sz w:val="32"/>
                <w:szCs w:val="32"/>
              </w:rPr>
              <w:t>存管银行出现下列情况之一的，责令改正，并根据情节轻重，采取警告、通报批评、暂停新增会员的存管业务等措施：</w:t>
            </w:r>
          </w:p>
          <w:p w:rsidR="00B43E8B" w:rsidRPr="00020A4D" w:rsidRDefault="00B43E8B" w:rsidP="00EB3850">
            <w:pPr>
              <w:widowControl/>
              <w:shd w:val="clear" w:color="auto" w:fill="FFFFFF"/>
              <w:spacing w:line="580" w:lineRule="exact"/>
              <w:rPr>
                <w:rFonts w:eastAsia="仿宋_GB2312"/>
                <w:sz w:val="32"/>
                <w:szCs w:val="32"/>
              </w:rPr>
            </w:pPr>
            <w:r w:rsidRPr="00020A4D">
              <w:rPr>
                <w:rFonts w:eastAsia="仿宋_GB2312"/>
                <w:sz w:val="32"/>
                <w:szCs w:val="32"/>
              </w:rPr>
              <w:t xml:space="preserve">  </w:t>
            </w:r>
            <w:r w:rsidRPr="00020A4D">
              <w:rPr>
                <w:rFonts w:eastAsia="仿宋_GB2312"/>
                <w:sz w:val="32"/>
                <w:szCs w:val="32"/>
              </w:rPr>
              <w:t>（一）未履行本</w:t>
            </w:r>
            <w:r w:rsidRPr="00020A4D">
              <w:rPr>
                <w:rFonts w:eastAsia="仿宋_GB2312"/>
                <w:dstrike/>
                <w:sz w:val="32"/>
                <w:szCs w:val="32"/>
              </w:rPr>
              <w:t>细则</w:t>
            </w:r>
            <w:r w:rsidRPr="00020A4D">
              <w:rPr>
                <w:rFonts w:eastAsia="仿宋_GB2312"/>
                <w:sz w:val="32"/>
                <w:szCs w:val="32"/>
                <w:shd w:val="clear" w:color="FFFFFF" w:fill="D9D9D9"/>
              </w:rPr>
              <w:t>办法</w:t>
            </w:r>
            <w:r w:rsidRPr="00020A4D">
              <w:rPr>
                <w:rFonts w:eastAsia="仿宋_GB2312"/>
                <w:sz w:val="32"/>
                <w:szCs w:val="32"/>
              </w:rPr>
              <w:t>以及与交易所签订的业务协议规定的义务，或者违反交易所其他业务规则的；</w:t>
            </w:r>
          </w:p>
          <w:p w:rsidR="00B43E8B" w:rsidRPr="00020A4D" w:rsidRDefault="00B43E8B" w:rsidP="00EB3850">
            <w:pPr>
              <w:widowControl/>
              <w:shd w:val="clear" w:color="auto" w:fill="FFFFFF"/>
              <w:spacing w:line="580" w:lineRule="exact"/>
              <w:ind w:firstLineChars="200" w:firstLine="640"/>
              <w:rPr>
                <w:rFonts w:eastAsia="仿宋_GB2312"/>
                <w:sz w:val="32"/>
                <w:szCs w:val="32"/>
              </w:rPr>
            </w:pPr>
            <w:r w:rsidRPr="00020A4D">
              <w:rPr>
                <w:rFonts w:eastAsia="仿宋_GB2312"/>
                <w:sz w:val="32"/>
                <w:szCs w:val="32"/>
              </w:rPr>
              <w:t>……</w:t>
            </w:r>
          </w:p>
          <w:p w:rsidR="00B43E8B" w:rsidRPr="00020A4D" w:rsidRDefault="00B43E8B" w:rsidP="00EB3850">
            <w:pPr>
              <w:pStyle w:val="a3"/>
              <w:widowControl/>
              <w:adjustRightInd w:val="0"/>
              <w:snapToGrid w:val="0"/>
              <w:spacing w:beforeAutospacing="0" w:afterAutospacing="0" w:line="580" w:lineRule="exact"/>
              <w:ind w:firstLineChars="192" w:firstLine="614"/>
              <w:jc w:val="both"/>
              <w:rPr>
                <w:rFonts w:eastAsia="仿宋_GB2312"/>
                <w:sz w:val="32"/>
                <w:szCs w:val="32"/>
                <w:shd w:val="clear" w:color="auto" w:fill="FFFFFF"/>
              </w:rPr>
            </w:pPr>
          </w:p>
        </w:tc>
      </w:tr>
    </w:tbl>
    <w:p w:rsidR="00B43E8B" w:rsidRPr="00020A4D" w:rsidRDefault="00B43E8B" w:rsidP="00B43E8B">
      <w:pPr>
        <w:ind w:firstLineChars="100" w:firstLine="321"/>
        <w:jc w:val="center"/>
        <w:rPr>
          <w:rFonts w:ascii="Times New Roman" w:eastAsia="宋体" w:hAnsi="Times New Roman" w:cs="Times New Roman"/>
          <w:b/>
          <w:bCs/>
          <w:color w:val="000000"/>
          <w:sz w:val="44"/>
          <w:szCs w:val="44"/>
        </w:rPr>
      </w:pPr>
      <w:r w:rsidRPr="00020A4D">
        <w:rPr>
          <w:rFonts w:ascii="Times New Roman" w:eastAsia="仿宋_GB2312" w:hAnsi="Times New Roman" w:cs="Times New Roman"/>
          <w:b/>
          <w:bCs/>
          <w:sz w:val="32"/>
          <w:szCs w:val="32"/>
        </w:rPr>
        <w:br w:type="page"/>
      </w:r>
      <w:r>
        <w:rPr>
          <w:rFonts w:ascii="Times New Roman" w:eastAsia="宋体" w:hAnsi="Times New Roman" w:cs="Times New Roman" w:hint="eastAsia"/>
          <w:b/>
          <w:bCs/>
          <w:color w:val="000000"/>
          <w:sz w:val="44"/>
          <w:szCs w:val="44"/>
        </w:rPr>
        <w:t>3</w:t>
      </w:r>
      <w:r>
        <w:rPr>
          <w:rFonts w:ascii="Times New Roman" w:eastAsia="宋体" w:hAnsi="Times New Roman" w:cs="Times New Roman"/>
          <w:b/>
          <w:bCs/>
          <w:color w:val="000000"/>
          <w:sz w:val="44"/>
          <w:szCs w:val="44"/>
        </w:rPr>
        <w:t>.</w:t>
      </w:r>
      <w:r w:rsidRPr="00020A4D">
        <w:rPr>
          <w:rFonts w:ascii="Times New Roman" w:eastAsia="宋体" w:hAnsi="Times New Roman" w:cs="Times New Roman"/>
          <w:b/>
          <w:bCs/>
          <w:color w:val="000000"/>
          <w:sz w:val="44"/>
          <w:szCs w:val="44"/>
        </w:rPr>
        <w:t>《大连商品交易所交割管理办法》</w:t>
      </w:r>
    </w:p>
    <w:p w:rsidR="00B43E8B" w:rsidRPr="00A024D7" w:rsidRDefault="00B43E8B" w:rsidP="00B43E8B">
      <w:pPr>
        <w:pStyle w:val="a3"/>
        <w:adjustRightInd w:val="0"/>
        <w:snapToGrid w:val="0"/>
        <w:spacing w:beforeAutospacing="0" w:afterAutospacing="0" w:line="580" w:lineRule="exact"/>
        <w:jc w:val="center"/>
        <w:rPr>
          <w:rFonts w:ascii="宋体" w:eastAsia="宋体" w:hAnsi="宋体"/>
          <w:b/>
          <w:bCs/>
          <w:sz w:val="44"/>
          <w:szCs w:val="44"/>
          <w:shd w:val="clear" w:color="auto" w:fill="FFFFFF"/>
        </w:rPr>
      </w:pPr>
      <w:r>
        <w:rPr>
          <w:rFonts w:ascii="宋体" w:eastAsia="宋体" w:hAnsi="宋体"/>
          <w:b/>
          <w:bCs/>
          <w:sz w:val="44"/>
          <w:szCs w:val="44"/>
          <w:shd w:val="clear" w:color="auto" w:fill="FFFFFF"/>
        </w:rPr>
        <w:t>修改对照表</w:t>
      </w:r>
    </w:p>
    <w:p w:rsidR="00B43E8B" w:rsidRPr="00020A4D" w:rsidRDefault="00B43E8B" w:rsidP="00B43E8B">
      <w:pPr>
        <w:jc w:val="center"/>
        <w:rPr>
          <w:rFonts w:ascii="Times New Roman" w:eastAsia="宋体" w:hAnsi="Times New Roman" w:cs="Times New Roman"/>
          <w:kern w:val="0"/>
          <w:sz w:val="24"/>
        </w:rPr>
      </w:pPr>
      <w:r w:rsidRPr="00020A4D">
        <w:rPr>
          <w:rFonts w:ascii="Times New Roman" w:eastAsia="宋体" w:hAnsi="Times New Roman" w:cs="Times New Roman"/>
          <w:sz w:val="24"/>
          <w:szCs w:val="24"/>
          <w:shd w:val="clear" w:color="auto" w:fill="FFFFFF"/>
        </w:rPr>
        <w:t>（</w:t>
      </w:r>
      <w:r w:rsidRPr="00020A4D">
        <w:rPr>
          <w:rFonts w:ascii="Times New Roman" w:eastAsia="楷体" w:hAnsi="Times New Roman" w:cs="Times New Roman"/>
          <w:color w:val="000000"/>
          <w:sz w:val="24"/>
          <w:szCs w:val="24"/>
        </w:rPr>
        <w:t>阴影部分为新增内容，</w:t>
      </w:r>
      <w:r w:rsidRPr="00020A4D">
        <w:rPr>
          <w:rFonts w:ascii="Times New Roman" w:eastAsia="楷体" w:hAnsi="Times New Roman" w:cs="Times New Roman"/>
          <w:color w:val="000000"/>
          <w:sz w:val="24"/>
          <w:szCs w:val="24"/>
        </w:rPr>
        <w:t>“……”</w:t>
      </w:r>
      <w:r w:rsidRPr="00020A4D">
        <w:rPr>
          <w:rFonts w:ascii="Times New Roman" w:eastAsia="楷体" w:hAnsi="Times New Roman" w:cs="Times New Roman"/>
          <w:color w:val="000000"/>
          <w:sz w:val="24"/>
          <w:szCs w:val="24"/>
        </w:rPr>
        <w:t>（省略号）含义为该条款未修改的其他内容。</w:t>
      </w:r>
      <w:r w:rsidRPr="00020A4D">
        <w:rPr>
          <w:rFonts w:ascii="Times New Roman" w:eastAsia="宋体" w:hAnsi="Times New Roman" w:cs="Times New Roman"/>
          <w:kern w:val="0"/>
          <w:sz w:val="24"/>
          <w:szCs w:val="24"/>
        </w:rPr>
        <w:t>）</w:t>
      </w:r>
    </w:p>
    <w:tbl>
      <w:tblPr>
        <w:tblStyle w:val="a4"/>
        <w:tblW w:w="10310" w:type="dxa"/>
        <w:jc w:val="center"/>
        <w:tblLayout w:type="fixed"/>
        <w:tblLook w:val="04A0" w:firstRow="1" w:lastRow="0" w:firstColumn="1" w:lastColumn="0" w:noHBand="0" w:noVBand="1"/>
      </w:tblPr>
      <w:tblGrid>
        <w:gridCol w:w="4815"/>
        <w:gridCol w:w="5495"/>
      </w:tblGrid>
      <w:tr w:rsidR="00B43E8B" w:rsidRPr="00020A4D" w:rsidTr="00EB3850">
        <w:trPr>
          <w:jc w:val="center"/>
        </w:trPr>
        <w:tc>
          <w:tcPr>
            <w:tcW w:w="4815" w:type="dxa"/>
          </w:tcPr>
          <w:p w:rsidR="00B43E8B" w:rsidRPr="00020A4D" w:rsidRDefault="00B43E8B" w:rsidP="00EB3850">
            <w:pPr>
              <w:jc w:val="center"/>
              <w:rPr>
                <w:rFonts w:eastAsia="仿宋_GB2312"/>
                <w:b/>
                <w:bCs/>
                <w:sz w:val="28"/>
                <w:szCs w:val="28"/>
              </w:rPr>
            </w:pPr>
            <w:r w:rsidRPr="00020A4D">
              <w:rPr>
                <w:rFonts w:eastAsia="仿宋_GB2312"/>
                <w:b/>
                <w:bCs/>
                <w:sz w:val="28"/>
                <w:szCs w:val="28"/>
              </w:rPr>
              <w:t>原条文</w:t>
            </w:r>
          </w:p>
        </w:tc>
        <w:tc>
          <w:tcPr>
            <w:tcW w:w="5495" w:type="dxa"/>
          </w:tcPr>
          <w:p w:rsidR="00B43E8B" w:rsidRPr="00020A4D" w:rsidRDefault="00B43E8B" w:rsidP="00EB3850">
            <w:pPr>
              <w:jc w:val="center"/>
              <w:rPr>
                <w:rFonts w:eastAsia="仿宋_GB2312"/>
                <w:b/>
                <w:bCs/>
                <w:sz w:val="28"/>
                <w:szCs w:val="28"/>
              </w:rPr>
            </w:pPr>
            <w:r w:rsidRPr="00020A4D">
              <w:rPr>
                <w:rFonts w:eastAsia="仿宋_GB2312"/>
                <w:b/>
                <w:bCs/>
                <w:sz w:val="28"/>
                <w:szCs w:val="28"/>
              </w:rPr>
              <w:t>修改后条文</w:t>
            </w:r>
          </w:p>
        </w:tc>
      </w:tr>
      <w:tr w:rsidR="00B43E8B" w:rsidRPr="00020A4D" w:rsidTr="00EB3850">
        <w:trPr>
          <w:jc w:val="center"/>
        </w:trPr>
        <w:tc>
          <w:tcPr>
            <w:tcW w:w="4815" w:type="dxa"/>
          </w:tcPr>
          <w:p w:rsidR="00B43E8B" w:rsidRPr="00020A4D" w:rsidRDefault="00B43E8B" w:rsidP="00EB3850">
            <w:pPr>
              <w:pStyle w:val="a3"/>
              <w:adjustRightInd w:val="0"/>
              <w:snapToGrid w:val="0"/>
              <w:spacing w:beforeAutospacing="0" w:afterAutospacing="0" w:line="580" w:lineRule="exact"/>
              <w:ind w:firstLineChars="228" w:firstLine="732"/>
              <w:jc w:val="both"/>
              <w:rPr>
                <w:rFonts w:eastAsia="仿宋_GB2312"/>
                <w:kern w:val="2"/>
                <w:sz w:val="32"/>
                <w:szCs w:val="32"/>
              </w:rPr>
            </w:pPr>
            <w:r w:rsidRPr="00020A4D">
              <w:rPr>
                <w:rFonts w:eastAsia="仿宋_GB2312"/>
                <w:b/>
                <w:bCs/>
                <w:kern w:val="2"/>
                <w:sz w:val="32"/>
                <w:szCs w:val="32"/>
              </w:rPr>
              <w:t>第六十四条</w:t>
            </w:r>
            <w:r w:rsidRPr="00020A4D">
              <w:rPr>
                <w:rFonts w:eastAsia="仿宋_GB2312"/>
                <w:kern w:val="2"/>
                <w:sz w:val="32"/>
                <w:szCs w:val="32"/>
              </w:rPr>
              <w:t xml:space="preserve"> </w:t>
            </w:r>
            <w:r w:rsidRPr="00020A4D">
              <w:rPr>
                <w:rFonts w:eastAsia="仿宋_GB2312"/>
                <w:kern w:val="2"/>
                <w:sz w:val="32"/>
                <w:szCs w:val="32"/>
              </w:rPr>
              <w:t>一次性交割流程第二日是配对日。</w:t>
            </w:r>
          </w:p>
          <w:p w:rsidR="00B43E8B" w:rsidRPr="00020A4D" w:rsidRDefault="00B43E8B" w:rsidP="00EB3850">
            <w:pPr>
              <w:pStyle w:val="a3"/>
              <w:adjustRightInd w:val="0"/>
              <w:snapToGrid w:val="0"/>
              <w:spacing w:beforeAutospacing="0" w:afterAutospacing="0" w:line="580" w:lineRule="exact"/>
              <w:ind w:firstLineChars="228" w:firstLine="730"/>
              <w:jc w:val="both"/>
              <w:rPr>
                <w:rFonts w:eastAsia="仿宋_GB2312"/>
                <w:kern w:val="2"/>
                <w:sz w:val="32"/>
                <w:szCs w:val="32"/>
              </w:rPr>
            </w:pPr>
            <w:r w:rsidRPr="00020A4D">
              <w:rPr>
                <w:rFonts w:eastAsia="仿宋_GB2312"/>
                <w:kern w:val="2"/>
                <w:sz w:val="32"/>
                <w:szCs w:val="32"/>
              </w:rPr>
              <w:t>最后交易日后第二个交易日闭市前，买方可以根据交易所公布的信息，提出交割意向申报。买方可以申报两个交割意向，包括第一意向和第二意向。闭市后交易所分配标准仓单时，将保税标准仓单按照</w:t>
            </w:r>
            <w:r w:rsidRPr="00020A4D">
              <w:rPr>
                <w:rFonts w:eastAsia="仿宋_GB2312"/>
                <w:kern w:val="2"/>
                <w:sz w:val="32"/>
                <w:szCs w:val="32"/>
              </w:rPr>
              <w:t>“</w:t>
            </w:r>
            <w:r w:rsidRPr="00020A4D">
              <w:rPr>
                <w:rFonts w:eastAsia="仿宋_GB2312"/>
                <w:kern w:val="2"/>
                <w:sz w:val="32"/>
                <w:szCs w:val="32"/>
              </w:rPr>
              <w:t>境外买方优先</w:t>
            </w:r>
            <w:r w:rsidRPr="00020A4D">
              <w:rPr>
                <w:rFonts w:eastAsia="仿宋_GB2312"/>
                <w:kern w:val="2"/>
                <w:sz w:val="32"/>
                <w:szCs w:val="32"/>
              </w:rPr>
              <w:t>”</w:t>
            </w:r>
            <w:r w:rsidRPr="00020A4D">
              <w:rPr>
                <w:rFonts w:eastAsia="仿宋_GB2312"/>
                <w:kern w:val="2"/>
                <w:sz w:val="32"/>
                <w:szCs w:val="32"/>
              </w:rPr>
              <w:t>、</w:t>
            </w:r>
            <w:r w:rsidRPr="00020A4D">
              <w:rPr>
                <w:rFonts w:eastAsia="仿宋_GB2312"/>
                <w:kern w:val="2"/>
                <w:sz w:val="32"/>
                <w:szCs w:val="32"/>
              </w:rPr>
              <w:t>“</w:t>
            </w:r>
            <w:r w:rsidRPr="00020A4D">
              <w:rPr>
                <w:rFonts w:eastAsia="仿宋_GB2312"/>
                <w:kern w:val="2"/>
                <w:sz w:val="32"/>
                <w:szCs w:val="32"/>
              </w:rPr>
              <w:t>意向优先</w:t>
            </w:r>
            <w:r w:rsidRPr="00020A4D">
              <w:rPr>
                <w:rFonts w:eastAsia="仿宋_GB2312"/>
                <w:kern w:val="2"/>
                <w:sz w:val="32"/>
                <w:szCs w:val="32"/>
              </w:rPr>
              <w:t>”</w:t>
            </w:r>
            <w:r w:rsidRPr="00020A4D">
              <w:rPr>
                <w:rFonts w:eastAsia="仿宋_GB2312"/>
                <w:kern w:val="2"/>
                <w:sz w:val="32"/>
                <w:szCs w:val="32"/>
              </w:rPr>
              <w:t>原则进行分配。其中，意向优先性顺序为：对任一买方，先考虑其第一意向，第一意向未得到满足或未全部得到满足，再考虑其第二意向；对任一交割仓库，先考虑将该仓库作为第一意向的买方，若有剩余仓单，再考虑将该仓库作为第二意向的买方。</w:t>
            </w:r>
          </w:p>
          <w:p w:rsidR="00B43E8B" w:rsidRPr="00020A4D" w:rsidRDefault="00B43E8B" w:rsidP="00EB3850">
            <w:pPr>
              <w:pStyle w:val="a3"/>
              <w:adjustRightInd w:val="0"/>
              <w:snapToGrid w:val="0"/>
              <w:spacing w:beforeAutospacing="0" w:afterAutospacing="0" w:line="580" w:lineRule="exact"/>
              <w:ind w:firstLineChars="228" w:firstLine="730"/>
              <w:jc w:val="both"/>
              <w:rPr>
                <w:rFonts w:eastAsia="仿宋_GB2312"/>
                <w:kern w:val="2"/>
                <w:sz w:val="32"/>
                <w:szCs w:val="32"/>
              </w:rPr>
            </w:pPr>
            <w:proofErr w:type="gramStart"/>
            <w:r w:rsidRPr="00020A4D">
              <w:rPr>
                <w:rFonts w:eastAsia="仿宋_GB2312"/>
                <w:kern w:val="2"/>
                <w:sz w:val="32"/>
                <w:szCs w:val="32"/>
              </w:rPr>
              <w:t>配对日闭市</w:t>
            </w:r>
            <w:proofErr w:type="gramEnd"/>
            <w:r w:rsidRPr="00020A4D">
              <w:rPr>
                <w:rFonts w:eastAsia="仿宋_GB2312"/>
                <w:kern w:val="2"/>
                <w:sz w:val="32"/>
                <w:szCs w:val="32"/>
              </w:rPr>
              <w:t>后，交易所按照如下原则和步骤进行交割配对：</w:t>
            </w:r>
          </w:p>
          <w:p w:rsidR="00B43E8B" w:rsidRPr="00020A4D" w:rsidRDefault="00B43E8B" w:rsidP="00EB3850">
            <w:pPr>
              <w:pStyle w:val="a3"/>
              <w:adjustRightInd w:val="0"/>
              <w:snapToGrid w:val="0"/>
              <w:spacing w:beforeAutospacing="0" w:afterAutospacing="0" w:line="580" w:lineRule="exact"/>
              <w:ind w:firstLineChars="228" w:firstLine="730"/>
              <w:jc w:val="both"/>
              <w:rPr>
                <w:rFonts w:eastAsia="仿宋_GB2312"/>
                <w:kern w:val="2"/>
                <w:sz w:val="32"/>
                <w:szCs w:val="32"/>
              </w:rPr>
            </w:pPr>
            <w:r w:rsidRPr="00020A4D">
              <w:rPr>
                <w:rFonts w:eastAsia="仿宋_GB2312"/>
                <w:kern w:val="2"/>
                <w:sz w:val="32"/>
                <w:szCs w:val="32"/>
              </w:rPr>
              <w:t>第一步：汇总标准仓单。交易所以仓库为单位汇总卖方的标准仓单；</w:t>
            </w:r>
          </w:p>
          <w:p w:rsidR="00B43E8B" w:rsidRPr="00020A4D" w:rsidRDefault="00B43E8B" w:rsidP="00EB3850">
            <w:pPr>
              <w:pStyle w:val="a3"/>
              <w:adjustRightInd w:val="0"/>
              <w:snapToGrid w:val="0"/>
              <w:spacing w:beforeAutospacing="0" w:afterAutospacing="0" w:line="580" w:lineRule="exact"/>
              <w:ind w:firstLineChars="228" w:firstLine="730"/>
              <w:jc w:val="both"/>
              <w:rPr>
                <w:rFonts w:eastAsia="仿宋_GB2312"/>
                <w:kern w:val="2"/>
                <w:sz w:val="32"/>
                <w:szCs w:val="32"/>
              </w:rPr>
            </w:pPr>
            <w:r w:rsidRPr="00020A4D">
              <w:rPr>
                <w:rFonts w:eastAsia="仿宋_GB2312"/>
                <w:kern w:val="2"/>
                <w:sz w:val="32"/>
                <w:szCs w:val="32"/>
              </w:rPr>
              <w:t>第二步：匹配境外买方和保税标准仓单。对任一保税交割仓库，若提出交割意向境外买方持仓数量合计小于其保税标准仓单数量，则所有境外买方意向均满足；若提出交割意向境外买方持仓数量合计大于其保税标准仓单数量，则按照</w:t>
            </w:r>
            <w:r w:rsidRPr="00020A4D">
              <w:rPr>
                <w:rFonts w:eastAsia="仿宋_GB2312"/>
                <w:kern w:val="2"/>
                <w:sz w:val="32"/>
                <w:szCs w:val="32"/>
              </w:rPr>
              <w:t>“</w:t>
            </w:r>
            <w:r w:rsidRPr="00020A4D">
              <w:rPr>
                <w:rFonts w:eastAsia="仿宋_GB2312"/>
                <w:kern w:val="2"/>
                <w:sz w:val="32"/>
                <w:szCs w:val="32"/>
              </w:rPr>
              <w:t>平均持仓时间长优先</w:t>
            </w:r>
            <w:r w:rsidRPr="00020A4D">
              <w:rPr>
                <w:rFonts w:eastAsia="仿宋_GB2312"/>
                <w:kern w:val="2"/>
                <w:sz w:val="32"/>
                <w:szCs w:val="32"/>
              </w:rPr>
              <w:t>”</w:t>
            </w:r>
            <w:r w:rsidRPr="00020A4D">
              <w:rPr>
                <w:rFonts w:eastAsia="仿宋_GB2312"/>
                <w:kern w:val="2"/>
                <w:sz w:val="32"/>
                <w:szCs w:val="32"/>
              </w:rPr>
              <w:t>的原则确定参与交割配对的境外买方。然后将意愿未被满足的境外买方持仓和未分配的保税标准仓单，以</w:t>
            </w:r>
            <w:r w:rsidRPr="00020A4D">
              <w:rPr>
                <w:rFonts w:eastAsia="仿宋_GB2312"/>
                <w:kern w:val="2"/>
                <w:sz w:val="32"/>
                <w:szCs w:val="32"/>
              </w:rPr>
              <w:t>“</w:t>
            </w:r>
            <w:r w:rsidRPr="00020A4D">
              <w:rPr>
                <w:rFonts w:eastAsia="仿宋_GB2312"/>
                <w:kern w:val="2"/>
                <w:sz w:val="32"/>
                <w:szCs w:val="32"/>
              </w:rPr>
              <w:t>最少配对数</w:t>
            </w:r>
            <w:r w:rsidRPr="00020A4D">
              <w:rPr>
                <w:rFonts w:eastAsia="仿宋_GB2312"/>
                <w:kern w:val="2"/>
                <w:sz w:val="32"/>
                <w:szCs w:val="32"/>
              </w:rPr>
              <w:t>”</w:t>
            </w:r>
            <w:r w:rsidRPr="00020A4D">
              <w:rPr>
                <w:rFonts w:eastAsia="仿宋_GB2312"/>
                <w:kern w:val="2"/>
                <w:sz w:val="32"/>
                <w:szCs w:val="32"/>
              </w:rPr>
              <w:t>原则进行分配，确定境外买方交割对应的保税交割仓库和在该仓库交割的数量。</w:t>
            </w:r>
          </w:p>
          <w:p w:rsidR="00B43E8B" w:rsidRPr="0019669E" w:rsidRDefault="00B43E8B" w:rsidP="00EB3850">
            <w:pPr>
              <w:widowControl/>
              <w:shd w:val="clear" w:color="auto" w:fill="FFFFFF"/>
              <w:ind w:firstLineChars="200" w:firstLine="560"/>
              <w:rPr>
                <w:color w:val="000000"/>
                <w:sz w:val="28"/>
                <w:szCs w:val="28"/>
              </w:rPr>
            </w:pPr>
            <w:r w:rsidRPr="00020A4D">
              <w:rPr>
                <w:color w:val="000000"/>
                <w:sz w:val="28"/>
                <w:szCs w:val="28"/>
              </w:rPr>
              <w:t>……</w:t>
            </w:r>
          </w:p>
        </w:tc>
        <w:tc>
          <w:tcPr>
            <w:tcW w:w="5495" w:type="dxa"/>
          </w:tcPr>
          <w:p w:rsidR="00B43E8B" w:rsidRPr="00020A4D" w:rsidRDefault="00B43E8B" w:rsidP="00EB3850">
            <w:pPr>
              <w:widowControl/>
              <w:spacing w:line="580" w:lineRule="exact"/>
              <w:ind w:firstLineChars="200" w:firstLine="643"/>
              <w:rPr>
                <w:rFonts w:eastAsia="仿宋_GB2312"/>
                <w:sz w:val="32"/>
                <w:szCs w:val="32"/>
              </w:rPr>
            </w:pPr>
            <w:r w:rsidRPr="00020A4D">
              <w:rPr>
                <w:rFonts w:eastAsia="仿宋_GB2312"/>
                <w:b/>
                <w:bCs/>
                <w:sz w:val="32"/>
                <w:szCs w:val="32"/>
              </w:rPr>
              <w:t>第六十四条</w:t>
            </w:r>
            <w:r w:rsidRPr="00020A4D">
              <w:rPr>
                <w:rFonts w:eastAsia="仿宋_GB2312"/>
                <w:sz w:val="32"/>
                <w:szCs w:val="32"/>
              </w:rPr>
              <w:t xml:space="preserve"> </w:t>
            </w:r>
            <w:r w:rsidRPr="00020A4D">
              <w:rPr>
                <w:rFonts w:eastAsia="仿宋_GB2312"/>
                <w:sz w:val="32"/>
                <w:szCs w:val="32"/>
              </w:rPr>
              <w:t>一次性交割流程第二日是配对日。</w:t>
            </w:r>
          </w:p>
          <w:p w:rsidR="00B43E8B" w:rsidRPr="00020A4D" w:rsidRDefault="00B43E8B" w:rsidP="00EB3850">
            <w:pPr>
              <w:pStyle w:val="a3"/>
              <w:widowControl/>
              <w:shd w:val="clear" w:color="auto" w:fill="FFFFFF"/>
              <w:spacing w:beforeAutospacing="0" w:afterAutospacing="0" w:line="580" w:lineRule="exact"/>
              <w:jc w:val="both"/>
              <w:rPr>
                <w:rFonts w:eastAsia="仿宋_GB2312"/>
                <w:sz w:val="32"/>
                <w:szCs w:val="32"/>
              </w:rPr>
            </w:pPr>
            <w:r w:rsidRPr="00020A4D">
              <w:rPr>
                <w:rFonts w:eastAsia="仿宋_GB2312"/>
                <w:sz w:val="32"/>
                <w:szCs w:val="32"/>
              </w:rPr>
              <w:t xml:space="preserve">　　最后交易日后第二个交易日闭市前，买方可以根据交易所公布的信息，提出交割意向申报。买方可以申报两个交割意向，包括第一意向和第二意向。闭市后交易所分配标准仓单时，将保税标准仓单按照</w:t>
            </w:r>
            <w:r w:rsidRPr="00020A4D">
              <w:rPr>
                <w:rFonts w:eastAsia="仿宋_GB2312"/>
                <w:sz w:val="32"/>
                <w:szCs w:val="32"/>
              </w:rPr>
              <w:t>“</w:t>
            </w:r>
            <w:r w:rsidRPr="00020A4D">
              <w:rPr>
                <w:rFonts w:eastAsia="仿宋_GB2312"/>
                <w:sz w:val="32"/>
                <w:szCs w:val="32"/>
              </w:rPr>
              <w:t>境外买方优先</w:t>
            </w:r>
            <w:r w:rsidRPr="00020A4D">
              <w:rPr>
                <w:rFonts w:eastAsia="仿宋_GB2312"/>
                <w:sz w:val="32"/>
                <w:szCs w:val="32"/>
              </w:rPr>
              <w:t>”</w:t>
            </w:r>
            <w:r w:rsidRPr="00020A4D">
              <w:rPr>
                <w:rFonts w:eastAsia="仿宋_GB2312"/>
                <w:sz w:val="32"/>
                <w:szCs w:val="32"/>
              </w:rPr>
              <w:t>、</w:t>
            </w:r>
            <w:r w:rsidRPr="00020A4D">
              <w:rPr>
                <w:rFonts w:eastAsia="仿宋_GB2312"/>
                <w:sz w:val="32"/>
                <w:szCs w:val="32"/>
              </w:rPr>
              <w:t>“</w:t>
            </w:r>
            <w:r w:rsidRPr="00020A4D">
              <w:rPr>
                <w:rFonts w:eastAsia="仿宋_GB2312"/>
                <w:sz w:val="32"/>
                <w:szCs w:val="32"/>
              </w:rPr>
              <w:t>意向优先</w:t>
            </w:r>
            <w:r w:rsidRPr="00020A4D">
              <w:rPr>
                <w:rFonts w:eastAsia="仿宋_GB2312"/>
                <w:sz w:val="32"/>
                <w:szCs w:val="32"/>
              </w:rPr>
              <w:t>”</w:t>
            </w:r>
            <w:r w:rsidRPr="00020A4D">
              <w:rPr>
                <w:rFonts w:eastAsia="仿宋_GB2312"/>
                <w:sz w:val="32"/>
                <w:szCs w:val="32"/>
              </w:rPr>
              <w:t>原则进行分配。其中，意向优先性顺序为：对任一买方，先考虑其第一意向，第一意向未得到满足或未全部得到满足，再考虑其第二意向；对任一交割仓库，先考虑将该仓库作为第一意向的买方，若有剩余仓单，再考虑将该仓库作为第二意向的买方。</w:t>
            </w:r>
            <w:r w:rsidRPr="00020A4D">
              <w:rPr>
                <w:rFonts w:eastAsia="仿宋_GB2312"/>
                <w:sz w:val="32"/>
                <w:szCs w:val="32"/>
                <w:shd w:val="clear" w:color="FFFFFF" w:fill="D9D9D9"/>
              </w:rPr>
              <w:t>本条所指的</w:t>
            </w:r>
            <w:r w:rsidRPr="00020A4D">
              <w:rPr>
                <w:rFonts w:eastAsia="仿宋_GB2312"/>
                <w:sz w:val="32"/>
                <w:szCs w:val="32"/>
                <w:shd w:val="clear" w:color="FFFFFF" w:fill="D9D9D9"/>
              </w:rPr>
              <w:t>“</w:t>
            </w:r>
            <w:r w:rsidRPr="00020A4D">
              <w:rPr>
                <w:rFonts w:eastAsia="仿宋_GB2312"/>
                <w:sz w:val="32"/>
                <w:szCs w:val="32"/>
                <w:shd w:val="clear" w:color="FFFFFF" w:fill="D9D9D9"/>
              </w:rPr>
              <w:t>境外买方</w:t>
            </w:r>
            <w:r w:rsidRPr="00020A4D">
              <w:rPr>
                <w:rFonts w:eastAsia="仿宋_GB2312"/>
                <w:sz w:val="32"/>
                <w:szCs w:val="32"/>
                <w:shd w:val="clear" w:color="FFFFFF" w:fill="D9D9D9"/>
              </w:rPr>
              <w:t>”</w:t>
            </w:r>
            <w:r w:rsidRPr="00020A4D">
              <w:rPr>
                <w:rFonts w:eastAsia="仿宋_GB2312"/>
                <w:sz w:val="32"/>
                <w:szCs w:val="32"/>
                <w:shd w:val="clear" w:color="FFFFFF" w:fill="D9D9D9"/>
              </w:rPr>
              <w:t>不包括合格境外机构投资者和人民币合格境外机构投资者。</w:t>
            </w:r>
          </w:p>
          <w:p w:rsidR="00B43E8B" w:rsidRPr="00020A4D" w:rsidRDefault="00B43E8B" w:rsidP="00EB3850">
            <w:pPr>
              <w:pStyle w:val="a3"/>
              <w:widowControl/>
              <w:shd w:val="clear" w:color="auto" w:fill="FFFFFF"/>
              <w:spacing w:beforeAutospacing="0" w:afterAutospacing="0" w:line="580" w:lineRule="exact"/>
              <w:jc w:val="both"/>
              <w:rPr>
                <w:rFonts w:eastAsia="仿宋_GB2312"/>
                <w:sz w:val="32"/>
                <w:szCs w:val="32"/>
              </w:rPr>
            </w:pPr>
            <w:r w:rsidRPr="00020A4D">
              <w:rPr>
                <w:rFonts w:eastAsia="仿宋_GB2312"/>
                <w:sz w:val="32"/>
                <w:szCs w:val="32"/>
              </w:rPr>
              <w:t xml:space="preserve">　　</w:t>
            </w:r>
            <w:proofErr w:type="gramStart"/>
            <w:r w:rsidRPr="00020A4D">
              <w:rPr>
                <w:rFonts w:eastAsia="仿宋_GB2312"/>
                <w:sz w:val="32"/>
                <w:szCs w:val="32"/>
              </w:rPr>
              <w:t>配对日闭市</w:t>
            </w:r>
            <w:proofErr w:type="gramEnd"/>
            <w:r w:rsidRPr="00020A4D">
              <w:rPr>
                <w:rFonts w:eastAsia="仿宋_GB2312"/>
                <w:sz w:val="32"/>
                <w:szCs w:val="32"/>
              </w:rPr>
              <w:t>后，交易所按照如下原则和步骤进行交割配对：</w:t>
            </w:r>
          </w:p>
          <w:p w:rsidR="00B43E8B" w:rsidRPr="00020A4D" w:rsidRDefault="00B43E8B" w:rsidP="00EB3850">
            <w:pPr>
              <w:pStyle w:val="a3"/>
              <w:widowControl/>
              <w:shd w:val="clear" w:color="auto" w:fill="FFFFFF"/>
              <w:spacing w:beforeAutospacing="0" w:afterAutospacing="0" w:line="580" w:lineRule="exact"/>
              <w:jc w:val="both"/>
              <w:rPr>
                <w:rFonts w:eastAsia="仿宋_GB2312"/>
                <w:sz w:val="32"/>
                <w:szCs w:val="32"/>
              </w:rPr>
            </w:pPr>
            <w:r w:rsidRPr="00020A4D">
              <w:rPr>
                <w:rFonts w:eastAsia="仿宋_GB2312"/>
                <w:sz w:val="32"/>
                <w:szCs w:val="32"/>
              </w:rPr>
              <w:t xml:space="preserve">　　第一步：汇总标准仓单。交易所以仓库为单位汇总卖方的标准仓单；</w:t>
            </w:r>
          </w:p>
          <w:p w:rsidR="00B43E8B" w:rsidRPr="00020A4D" w:rsidRDefault="00B43E8B" w:rsidP="00EB3850">
            <w:pPr>
              <w:pStyle w:val="a3"/>
              <w:widowControl/>
              <w:shd w:val="clear" w:color="auto" w:fill="FFFFFF"/>
              <w:spacing w:beforeAutospacing="0" w:afterAutospacing="0" w:line="580" w:lineRule="exact"/>
              <w:ind w:firstLine="563"/>
              <w:jc w:val="both"/>
              <w:rPr>
                <w:rFonts w:eastAsia="仿宋_GB2312"/>
                <w:sz w:val="32"/>
                <w:szCs w:val="32"/>
              </w:rPr>
            </w:pPr>
            <w:r w:rsidRPr="00020A4D">
              <w:rPr>
                <w:rFonts w:eastAsia="仿宋_GB2312"/>
                <w:sz w:val="32"/>
                <w:szCs w:val="32"/>
              </w:rPr>
              <w:t>第二步：匹配境外买方和保税标准仓单。对任一保税交割仓库，若提出交割意向境外买方持仓数量合计小于其保税标准仓单数量，则所有境外买方意向均满足；若提出交割意向境外买方持仓数量合计大于其保税标准仓单数量，则按照</w:t>
            </w:r>
            <w:r w:rsidRPr="00020A4D">
              <w:rPr>
                <w:rFonts w:eastAsia="仿宋_GB2312"/>
                <w:sz w:val="32"/>
                <w:szCs w:val="32"/>
              </w:rPr>
              <w:t>“</w:t>
            </w:r>
            <w:r w:rsidRPr="00020A4D">
              <w:rPr>
                <w:rFonts w:eastAsia="仿宋_GB2312"/>
                <w:sz w:val="32"/>
                <w:szCs w:val="32"/>
              </w:rPr>
              <w:t>平均持仓时间长优先</w:t>
            </w:r>
            <w:r w:rsidRPr="00020A4D">
              <w:rPr>
                <w:rFonts w:eastAsia="仿宋_GB2312"/>
                <w:sz w:val="32"/>
                <w:szCs w:val="32"/>
              </w:rPr>
              <w:t>”</w:t>
            </w:r>
            <w:r w:rsidRPr="00020A4D">
              <w:rPr>
                <w:rFonts w:eastAsia="仿宋_GB2312"/>
                <w:sz w:val="32"/>
                <w:szCs w:val="32"/>
              </w:rPr>
              <w:t>的原则确定参与交割配对的境外买方。然后将意愿未被满足的境外买方持仓和未分配的保税标准仓单，以</w:t>
            </w:r>
            <w:r w:rsidRPr="00020A4D">
              <w:rPr>
                <w:rFonts w:eastAsia="仿宋_GB2312"/>
                <w:sz w:val="32"/>
                <w:szCs w:val="32"/>
              </w:rPr>
              <w:t>“</w:t>
            </w:r>
            <w:r w:rsidRPr="00020A4D">
              <w:rPr>
                <w:rFonts w:eastAsia="仿宋_GB2312"/>
                <w:sz w:val="32"/>
                <w:szCs w:val="32"/>
              </w:rPr>
              <w:t>最少配对数</w:t>
            </w:r>
            <w:r w:rsidRPr="00020A4D">
              <w:rPr>
                <w:rFonts w:eastAsia="仿宋_GB2312"/>
                <w:sz w:val="32"/>
                <w:szCs w:val="32"/>
              </w:rPr>
              <w:t>”</w:t>
            </w:r>
            <w:r w:rsidRPr="00020A4D">
              <w:rPr>
                <w:rFonts w:eastAsia="仿宋_GB2312"/>
                <w:sz w:val="32"/>
                <w:szCs w:val="32"/>
              </w:rPr>
              <w:t>原则进行分配，确定境外买方交割对应的保税交割仓库和在该仓库交割的数量。</w:t>
            </w:r>
          </w:p>
          <w:p w:rsidR="00B43E8B" w:rsidRPr="0019669E" w:rsidRDefault="00B43E8B" w:rsidP="00EB3850">
            <w:pPr>
              <w:widowControl/>
              <w:shd w:val="clear" w:color="auto" w:fill="FFFFFF"/>
              <w:ind w:firstLineChars="200" w:firstLine="560"/>
              <w:rPr>
                <w:color w:val="000000"/>
                <w:sz w:val="28"/>
                <w:szCs w:val="28"/>
              </w:rPr>
            </w:pPr>
            <w:r w:rsidRPr="00020A4D">
              <w:rPr>
                <w:color w:val="000000"/>
                <w:sz w:val="28"/>
                <w:szCs w:val="28"/>
              </w:rPr>
              <w:t>……</w:t>
            </w:r>
          </w:p>
        </w:tc>
      </w:tr>
    </w:tbl>
    <w:p w:rsidR="00B43E8B" w:rsidRPr="00020A4D" w:rsidRDefault="00B43E8B" w:rsidP="00B43E8B">
      <w:pPr>
        <w:rPr>
          <w:rFonts w:ascii="Times New Roman" w:eastAsia="仿宋_GB2312" w:hAnsi="Times New Roman" w:cs="Times New Roman"/>
          <w:b/>
          <w:bCs/>
          <w:sz w:val="32"/>
          <w:szCs w:val="32"/>
        </w:rPr>
      </w:pPr>
      <w:r w:rsidRPr="00020A4D">
        <w:rPr>
          <w:rFonts w:ascii="Times New Roman" w:eastAsia="仿宋_GB2312" w:hAnsi="Times New Roman" w:cs="Times New Roman"/>
          <w:b/>
          <w:bCs/>
          <w:sz w:val="32"/>
          <w:szCs w:val="32"/>
        </w:rPr>
        <w:br w:type="page"/>
      </w:r>
    </w:p>
    <w:p w:rsidR="00B43E8B" w:rsidRPr="00A024D7" w:rsidRDefault="00B43E8B" w:rsidP="00B43E8B">
      <w:pPr>
        <w:widowControl/>
        <w:spacing w:line="580" w:lineRule="exact"/>
        <w:jc w:val="center"/>
        <w:rPr>
          <w:rFonts w:ascii="Times New Roman" w:eastAsia="宋体" w:hAnsi="Times New Roman" w:cs="Times New Roman"/>
          <w:b/>
          <w:bCs/>
          <w:color w:val="000000"/>
          <w:kern w:val="0"/>
          <w:sz w:val="44"/>
          <w:szCs w:val="44"/>
        </w:rPr>
      </w:pPr>
      <w:r w:rsidRPr="00A024D7">
        <w:rPr>
          <w:rFonts w:ascii="Times New Roman" w:eastAsia="宋体" w:hAnsi="Times New Roman" w:cs="Times New Roman" w:hint="eastAsia"/>
          <w:b/>
          <w:bCs/>
          <w:color w:val="000000"/>
          <w:kern w:val="0"/>
          <w:sz w:val="44"/>
          <w:szCs w:val="44"/>
        </w:rPr>
        <w:t>4</w:t>
      </w:r>
      <w:r w:rsidRPr="00A024D7">
        <w:rPr>
          <w:rFonts w:ascii="Times New Roman" w:eastAsia="宋体" w:hAnsi="Times New Roman" w:cs="Times New Roman"/>
          <w:b/>
          <w:bCs/>
          <w:color w:val="000000"/>
          <w:kern w:val="0"/>
          <w:sz w:val="44"/>
          <w:szCs w:val="44"/>
        </w:rPr>
        <w:t>.</w:t>
      </w:r>
      <w:r w:rsidRPr="00A024D7">
        <w:rPr>
          <w:rFonts w:ascii="Times New Roman" w:eastAsia="宋体" w:hAnsi="Times New Roman" w:cs="Times New Roman"/>
          <w:b/>
          <w:bCs/>
          <w:color w:val="000000"/>
          <w:kern w:val="0"/>
          <w:sz w:val="44"/>
          <w:szCs w:val="44"/>
        </w:rPr>
        <w:t>《大连商品交易所铁矿石期货业务细则》</w:t>
      </w:r>
    </w:p>
    <w:p w:rsidR="00B43E8B" w:rsidRPr="00A024D7" w:rsidRDefault="00B43E8B" w:rsidP="00B43E8B">
      <w:pPr>
        <w:pStyle w:val="a3"/>
        <w:adjustRightInd w:val="0"/>
        <w:snapToGrid w:val="0"/>
        <w:spacing w:beforeAutospacing="0" w:afterAutospacing="0" w:line="580" w:lineRule="exact"/>
        <w:jc w:val="center"/>
        <w:rPr>
          <w:rFonts w:ascii="宋体" w:eastAsia="宋体" w:hAnsi="宋体"/>
          <w:b/>
          <w:bCs/>
          <w:sz w:val="44"/>
          <w:szCs w:val="44"/>
          <w:shd w:val="clear" w:color="auto" w:fill="FFFFFF"/>
        </w:rPr>
      </w:pPr>
      <w:r>
        <w:rPr>
          <w:rFonts w:ascii="宋体" w:eastAsia="宋体" w:hAnsi="宋体"/>
          <w:b/>
          <w:bCs/>
          <w:sz w:val="44"/>
          <w:szCs w:val="44"/>
          <w:shd w:val="clear" w:color="auto" w:fill="FFFFFF"/>
        </w:rPr>
        <w:t>修改对照表</w:t>
      </w:r>
    </w:p>
    <w:p w:rsidR="00B43E8B" w:rsidRPr="00A024D7" w:rsidRDefault="00B43E8B" w:rsidP="00B43E8B">
      <w:pPr>
        <w:rPr>
          <w:rFonts w:ascii="Times New Roman" w:eastAsia="宋体" w:hAnsi="Times New Roman" w:cs="Times New Roman"/>
          <w:kern w:val="0"/>
          <w:sz w:val="24"/>
        </w:rPr>
      </w:pPr>
      <w:r w:rsidRPr="00A024D7">
        <w:rPr>
          <w:rFonts w:ascii="Times New Roman" w:eastAsia="宋体" w:hAnsi="Times New Roman" w:cs="Times New Roman"/>
          <w:sz w:val="24"/>
          <w:szCs w:val="24"/>
          <w:shd w:val="clear" w:color="auto" w:fill="FFFFFF"/>
        </w:rPr>
        <w:t>（</w:t>
      </w:r>
      <w:r w:rsidRPr="00A024D7">
        <w:rPr>
          <w:rFonts w:ascii="Times New Roman" w:eastAsia="楷体" w:hAnsi="Times New Roman" w:cs="Times New Roman"/>
          <w:color w:val="000000"/>
          <w:sz w:val="24"/>
          <w:szCs w:val="24"/>
        </w:rPr>
        <w:t>阴影部分为新增内容，</w:t>
      </w:r>
      <w:r w:rsidRPr="00A024D7">
        <w:rPr>
          <w:rFonts w:ascii="Times New Roman" w:eastAsia="楷体" w:hAnsi="Times New Roman" w:cs="Times New Roman"/>
          <w:color w:val="000000"/>
          <w:sz w:val="24"/>
          <w:szCs w:val="24"/>
        </w:rPr>
        <w:t>“……”</w:t>
      </w:r>
      <w:r w:rsidRPr="00A024D7">
        <w:rPr>
          <w:rFonts w:ascii="Times New Roman" w:eastAsia="楷体" w:hAnsi="Times New Roman" w:cs="Times New Roman"/>
          <w:color w:val="000000"/>
          <w:sz w:val="24"/>
          <w:szCs w:val="24"/>
        </w:rPr>
        <w:t>（省略号）含义为该条款未修改的其他内容。</w:t>
      </w:r>
      <w:r w:rsidRPr="00A024D7">
        <w:rPr>
          <w:rFonts w:ascii="Times New Roman" w:eastAsia="宋体" w:hAnsi="Times New Roman" w:cs="Times New Roman"/>
          <w:kern w:val="0"/>
          <w:sz w:val="24"/>
          <w:szCs w:val="24"/>
        </w:rPr>
        <w:t>）</w:t>
      </w:r>
    </w:p>
    <w:tbl>
      <w:tblPr>
        <w:tblStyle w:val="a4"/>
        <w:tblW w:w="10310" w:type="dxa"/>
        <w:jc w:val="center"/>
        <w:tblLayout w:type="fixed"/>
        <w:tblLook w:val="04A0" w:firstRow="1" w:lastRow="0" w:firstColumn="1" w:lastColumn="0" w:noHBand="0" w:noVBand="1"/>
      </w:tblPr>
      <w:tblGrid>
        <w:gridCol w:w="4815"/>
        <w:gridCol w:w="5495"/>
      </w:tblGrid>
      <w:tr w:rsidR="00B43E8B" w:rsidRPr="00020A4D" w:rsidTr="00EB3850">
        <w:trPr>
          <w:jc w:val="center"/>
        </w:trPr>
        <w:tc>
          <w:tcPr>
            <w:tcW w:w="4815" w:type="dxa"/>
          </w:tcPr>
          <w:p w:rsidR="00B43E8B" w:rsidRPr="00020A4D" w:rsidRDefault="00B43E8B" w:rsidP="00EB3850">
            <w:pPr>
              <w:jc w:val="center"/>
              <w:rPr>
                <w:rFonts w:eastAsia="仿宋_GB2312"/>
                <w:b/>
                <w:bCs/>
                <w:sz w:val="28"/>
                <w:szCs w:val="28"/>
              </w:rPr>
            </w:pPr>
            <w:r w:rsidRPr="00020A4D">
              <w:rPr>
                <w:rFonts w:eastAsia="仿宋_GB2312"/>
                <w:b/>
                <w:bCs/>
                <w:sz w:val="28"/>
                <w:szCs w:val="28"/>
              </w:rPr>
              <w:t>原条文</w:t>
            </w:r>
          </w:p>
        </w:tc>
        <w:tc>
          <w:tcPr>
            <w:tcW w:w="5495" w:type="dxa"/>
          </w:tcPr>
          <w:p w:rsidR="00B43E8B" w:rsidRPr="00020A4D" w:rsidRDefault="00B43E8B" w:rsidP="00EB3850">
            <w:pPr>
              <w:jc w:val="center"/>
              <w:rPr>
                <w:rFonts w:eastAsia="仿宋_GB2312"/>
                <w:b/>
                <w:bCs/>
                <w:sz w:val="28"/>
                <w:szCs w:val="28"/>
              </w:rPr>
            </w:pPr>
            <w:r w:rsidRPr="00020A4D">
              <w:rPr>
                <w:rFonts w:eastAsia="仿宋_GB2312"/>
                <w:b/>
                <w:bCs/>
                <w:sz w:val="28"/>
                <w:szCs w:val="28"/>
              </w:rPr>
              <w:t>修改后条文</w:t>
            </w:r>
          </w:p>
        </w:tc>
      </w:tr>
      <w:tr w:rsidR="00B43E8B" w:rsidRPr="00020A4D" w:rsidTr="00EB3850">
        <w:trPr>
          <w:jc w:val="center"/>
        </w:trPr>
        <w:tc>
          <w:tcPr>
            <w:tcW w:w="4815" w:type="dxa"/>
          </w:tcPr>
          <w:p w:rsidR="00B43E8B" w:rsidRPr="00020A4D" w:rsidRDefault="00B43E8B" w:rsidP="00EB3850">
            <w:pPr>
              <w:pStyle w:val="a3"/>
              <w:adjustRightInd w:val="0"/>
              <w:snapToGrid w:val="0"/>
              <w:spacing w:beforeAutospacing="0" w:afterAutospacing="0" w:line="580" w:lineRule="exact"/>
              <w:ind w:firstLineChars="228" w:firstLine="732"/>
              <w:jc w:val="both"/>
              <w:rPr>
                <w:rFonts w:eastAsia="仿宋_GB2312"/>
                <w:kern w:val="2"/>
                <w:sz w:val="32"/>
                <w:szCs w:val="32"/>
              </w:rPr>
            </w:pPr>
            <w:r w:rsidRPr="007C3FBB">
              <w:rPr>
                <w:rFonts w:eastAsia="仿宋_GB2312"/>
                <w:b/>
                <w:kern w:val="2"/>
                <w:sz w:val="32"/>
                <w:szCs w:val="32"/>
              </w:rPr>
              <w:t>第十九条</w:t>
            </w:r>
            <w:r w:rsidRPr="00020A4D">
              <w:rPr>
                <w:rFonts w:eastAsia="仿宋_GB2312"/>
                <w:kern w:val="2"/>
                <w:sz w:val="32"/>
                <w:szCs w:val="32"/>
              </w:rPr>
              <w:t xml:space="preserve"> </w:t>
            </w:r>
            <w:r w:rsidRPr="00020A4D">
              <w:rPr>
                <w:rFonts w:eastAsia="仿宋_GB2312"/>
                <w:kern w:val="2"/>
                <w:sz w:val="32"/>
                <w:szCs w:val="32"/>
              </w:rPr>
              <w:t>滚动交割的</w:t>
            </w:r>
            <w:proofErr w:type="gramStart"/>
            <w:r w:rsidRPr="00020A4D">
              <w:rPr>
                <w:rFonts w:eastAsia="仿宋_GB2312"/>
                <w:kern w:val="2"/>
                <w:sz w:val="32"/>
                <w:szCs w:val="32"/>
              </w:rPr>
              <w:t>配对日闭市</w:t>
            </w:r>
            <w:proofErr w:type="gramEnd"/>
            <w:r w:rsidRPr="00020A4D">
              <w:rPr>
                <w:rFonts w:eastAsia="仿宋_GB2312"/>
                <w:kern w:val="2"/>
                <w:sz w:val="32"/>
                <w:szCs w:val="32"/>
              </w:rPr>
              <w:t>后，交易所通过系统，按照如下原则和步骤进行交割配对：</w:t>
            </w:r>
          </w:p>
          <w:p w:rsidR="00B43E8B" w:rsidRPr="00020A4D" w:rsidRDefault="00B43E8B" w:rsidP="00EB3850">
            <w:pPr>
              <w:pStyle w:val="a3"/>
              <w:widowControl/>
              <w:shd w:val="clear" w:color="auto" w:fill="FFFFFF"/>
              <w:spacing w:beforeAutospacing="0" w:after="420" w:afterAutospacing="0" w:line="580" w:lineRule="exact"/>
              <w:ind w:firstLineChars="200" w:firstLine="640"/>
              <w:jc w:val="both"/>
              <w:rPr>
                <w:rFonts w:eastAsia="仿宋_GB2312"/>
                <w:kern w:val="2"/>
                <w:sz w:val="32"/>
                <w:szCs w:val="32"/>
              </w:rPr>
            </w:pPr>
            <w:r w:rsidRPr="00020A4D">
              <w:rPr>
                <w:rFonts w:eastAsia="仿宋_GB2312"/>
                <w:kern w:val="2"/>
                <w:sz w:val="32"/>
                <w:szCs w:val="32"/>
              </w:rPr>
              <w:t>……</w:t>
            </w:r>
          </w:p>
          <w:p w:rsidR="00B43E8B" w:rsidRPr="00020A4D" w:rsidRDefault="00B43E8B" w:rsidP="00EB3850">
            <w:pPr>
              <w:pStyle w:val="a3"/>
              <w:adjustRightInd w:val="0"/>
              <w:snapToGrid w:val="0"/>
              <w:spacing w:beforeAutospacing="0" w:afterAutospacing="0" w:line="580" w:lineRule="exact"/>
              <w:ind w:firstLineChars="228" w:firstLine="730"/>
              <w:jc w:val="both"/>
              <w:rPr>
                <w:rFonts w:eastAsia="仿宋_GB2312"/>
                <w:kern w:val="2"/>
                <w:sz w:val="32"/>
                <w:szCs w:val="32"/>
              </w:rPr>
            </w:pPr>
            <w:r w:rsidRPr="00020A4D">
              <w:rPr>
                <w:rFonts w:eastAsia="仿宋_GB2312"/>
                <w:kern w:val="2"/>
                <w:sz w:val="32"/>
                <w:szCs w:val="32"/>
              </w:rPr>
              <w:t>第二步：匹配买方和指定交割仓库。对任一指定交割仓库，若提出交割意向买方持仓数量合计小于等于其相关标准仓单数量，则所有买方意向均满足；若提出交割意向买方持仓数量合计大于其相关标准仓单数量，则按照</w:t>
            </w:r>
            <w:r w:rsidRPr="00020A4D">
              <w:rPr>
                <w:rFonts w:eastAsia="仿宋_GB2312"/>
                <w:kern w:val="2"/>
                <w:sz w:val="32"/>
                <w:szCs w:val="32"/>
              </w:rPr>
              <w:t>“</w:t>
            </w:r>
            <w:r w:rsidRPr="00020A4D">
              <w:rPr>
                <w:rFonts w:eastAsia="仿宋_GB2312"/>
                <w:kern w:val="2"/>
                <w:sz w:val="32"/>
                <w:szCs w:val="32"/>
              </w:rPr>
              <w:t>保税标准仓单优先配对境外买方、完税标准仓单优先配对境内买方</w:t>
            </w:r>
            <w:r w:rsidRPr="00020A4D">
              <w:rPr>
                <w:rFonts w:eastAsia="仿宋_GB2312"/>
                <w:kern w:val="2"/>
                <w:sz w:val="32"/>
                <w:szCs w:val="32"/>
              </w:rPr>
              <w:t>”</w:t>
            </w:r>
            <w:r w:rsidRPr="00020A4D">
              <w:rPr>
                <w:rFonts w:eastAsia="仿宋_GB2312"/>
                <w:kern w:val="2"/>
                <w:sz w:val="32"/>
                <w:szCs w:val="32"/>
              </w:rPr>
              <w:t>和</w:t>
            </w:r>
            <w:r w:rsidRPr="00020A4D">
              <w:rPr>
                <w:rFonts w:eastAsia="仿宋_GB2312"/>
                <w:kern w:val="2"/>
                <w:sz w:val="32"/>
                <w:szCs w:val="32"/>
              </w:rPr>
              <w:t>“</w:t>
            </w:r>
            <w:r w:rsidRPr="00020A4D">
              <w:rPr>
                <w:rFonts w:eastAsia="仿宋_GB2312"/>
                <w:kern w:val="2"/>
                <w:sz w:val="32"/>
                <w:szCs w:val="32"/>
              </w:rPr>
              <w:t>平均持仓时间长优先</w:t>
            </w:r>
            <w:r w:rsidRPr="00020A4D">
              <w:rPr>
                <w:rFonts w:eastAsia="仿宋_GB2312"/>
                <w:kern w:val="2"/>
                <w:sz w:val="32"/>
                <w:szCs w:val="32"/>
              </w:rPr>
              <w:t>”</w:t>
            </w:r>
            <w:r w:rsidRPr="00020A4D">
              <w:rPr>
                <w:rFonts w:eastAsia="仿宋_GB2312"/>
                <w:kern w:val="2"/>
                <w:sz w:val="32"/>
                <w:szCs w:val="32"/>
              </w:rPr>
              <w:t>的原则确定参与交割配对的买方。</w:t>
            </w:r>
          </w:p>
          <w:p w:rsidR="00B43E8B" w:rsidRPr="00020A4D" w:rsidRDefault="00B43E8B" w:rsidP="00EB3850">
            <w:pPr>
              <w:pStyle w:val="a3"/>
              <w:widowControl/>
              <w:shd w:val="clear" w:color="auto" w:fill="FFFFFF"/>
              <w:spacing w:beforeAutospacing="0" w:after="420" w:afterAutospacing="0" w:line="580" w:lineRule="exact"/>
              <w:ind w:firstLineChars="200" w:firstLine="640"/>
              <w:jc w:val="both"/>
              <w:rPr>
                <w:rFonts w:eastAsia="仿宋_GB2312"/>
                <w:kern w:val="2"/>
                <w:sz w:val="32"/>
                <w:szCs w:val="32"/>
              </w:rPr>
            </w:pPr>
            <w:r w:rsidRPr="00020A4D">
              <w:rPr>
                <w:rFonts w:eastAsia="仿宋_GB2312"/>
                <w:kern w:val="2"/>
                <w:sz w:val="32"/>
                <w:szCs w:val="32"/>
              </w:rPr>
              <w:t>……</w:t>
            </w:r>
          </w:p>
          <w:p w:rsidR="00B43E8B" w:rsidRPr="00020A4D" w:rsidRDefault="00B43E8B" w:rsidP="00EB3850">
            <w:pPr>
              <w:pStyle w:val="a3"/>
              <w:adjustRightInd w:val="0"/>
              <w:snapToGrid w:val="0"/>
              <w:spacing w:beforeAutospacing="0" w:afterAutospacing="0" w:line="580" w:lineRule="exact"/>
              <w:ind w:firstLineChars="200" w:firstLine="640"/>
              <w:jc w:val="both"/>
              <w:rPr>
                <w:rFonts w:eastAsia="仿宋_GB2312"/>
                <w:kern w:val="2"/>
                <w:sz w:val="32"/>
                <w:szCs w:val="32"/>
              </w:rPr>
            </w:pPr>
            <w:r w:rsidRPr="00020A4D">
              <w:rPr>
                <w:rFonts w:eastAsia="仿宋_GB2312"/>
                <w:kern w:val="2"/>
                <w:sz w:val="32"/>
                <w:szCs w:val="32"/>
              </w:rPr>
              <w:t>对于满足买方意向后剩余的标准仓单，交易所从未提交割意向和所提意向未被满足的买方持仓中，分别按照</w:t>
            </w:r>
            <w:r w:rsidRPr="00020A4D">
              <w:rPr>
                <w:rFonts w:eastAsia="仿宋_GB2312"/>
                <w:kern w:val="2"/>
                <w:sz w:val="32"/>
                <w:szCs w:val="32"/>
              </w:rPr>
              <w:t>“</w:t>
            </w:r>
            <w:r w:rsidRPr="00020A4D">
              <w:rPr>
                <w:rFonts w:eastAsia="仿宋_GB2312"/>
                <w:kern w:val="2"/>
                <w:sz w:val="32"/>
                <w:szCs w:val="32"/>
              </w:rPr>
              <w:t>含有建仓时间最早的持仓优先</w:t>
            </w:r>
            <w:r w:rsidRPr="00020A4D">
              <w:rPr>
                <w:rFonts w:eastAsia="仿宋_GB2312"/>
                <w:kern w:val="2"/>
                <w:sz w:val="32"/>
                <w:szCs w:val="32"/>
              </w:rPr>
              <w:t>”</w:t>
            </w:r>
            <w:r w:rsidRPr="00020A4D">
              <w:rPr>
                <w:rFonts w:eastAsia="仿宋_GB2312"/>
                <w:kern w:val="2"/>
                <w:sz w:val="32"/>
                <w:szCs w:val="32"/>
              </w:rPr>
              <w:t>原则，确定与完税标准仓单配对的境内买方和与保税标准仓单配对的境外买方，再按</w:t>
            </w:r>
            <w:r w:rsidRPr="00020A4D">
              <w:rPr>
                <w:rFonts w:eastAsia="仿宋_GB2312"/>
                <w:kern w:val="2"/>
                <w:sz w:val="32"/>
                <w:szCs w:val="32"/>
              </w:rPr>
              <w:t>“</w:t>
            </w:r>
            <w:r w:rsidRPr="00020A4D">
              <w:rPr>
                <w:rFonts w:eastAsia="仿宋_GB2312"/>
                <w:kern w:val="2"/>
                <w:sz w:val="32"/>
                <w:szCs w:val="32"/>
              </w:rPr>
              <w:t>最少配对数</w:t>
            </w:r>
            <w:r w:rsidRPr="00020A4D">
              <w:rPr>
                <w:rFonts w:eastAsia="仿宋_GB2312"/>
                <w:kern w:val="2"/>
                <w:sz w:val="32"/>
                <w:szCs w:val="32"/>
              </w:rPr>
              <w:t>”</w:t>
            </w:r>
            <w:r w:rsidRPr="00020A4D">
              <w:rPr>
                <w:rFonts w:eastAsia="仿宋_GB2312"/>
                <w:kern w:val="2"/>
                <w:sz w:val="32"/>
                <w:szCs w:val="32"/>
              </w:rPr>
              <w:t>原则确定买方交割对应的指定交割仓库，以及在该指定交割仓库交割的数量。</w:t>
            </w:r>
          </w:p>
          <w:p w:rsidR="00B43E8B" w:rsidRPr="00020A4D" w:rsidRDefault="00B43E8B" w:rsidP="00EB3850">
            <w:pPr>
              <w:pStyle w:val="a3"/>
              <w:adjustRightInd w:val="0"/>
              <w:snapToGrid w:val="0"/>
              <w:spacing w:beforeAutospacing="0" w:afterAutospacing="0" w:line="580" w:lineRule="exact"/>
              <w:ind w:firstLineChars="228" w:firstLine="730"/>
              <w:jc w:val="both"/>
              <w:rPr>
                <w:rFonts w:eastAsia="仿宋_GB2312"/>
                <w:kern w:val="2"/>
                <w:sz w:val="28"/>
                <w:szCs w:val="28"/>
              </w:rPr>
            </w:pPr>
            <w:r w:rsidRPr="00020A4D">
              <w:rPr>
                <w:rFonts w:eastAsia="仿宋_GB2312"/>
                <w:kern w:val="2"/>
                <w:sz w:val="32"/>
                <w:szCs w:val="32"/>
              </w:rPr>
              <w:t>......</w:t>
            </w:r>
          </w:p>
        </w:tc>
        <w:tc>
          <w:tcPr>
            <w:tcW w:w="5495" w:type="dxa"/>
          </w:tcPr>
          <w:p w:rsidR="00B43E8B" w:rsidRPr="00020A4D" w:rsidRDefault="00B43E8B" w:rsidP="00EB3850">
            <w:pPr>
              <w:pStyle w:val="a3"/>
              <w:widowControl/>
              <w:shd w:val="clear" w:color="auto" w:fill="FFFFFF"/>
              <w:spacing w:beforeAutospacing="0" w:after="420" w:afterAutospacing="0" w:line="580" w:lineRule="exact"/>
              <w:ind w:firstLineChars="200" w:firstLine="643"/>
              <w:jc w:val="both"/>
              <w:rPr>
                <w:rFonts w:eastAsia="仿宋_GB2312"/>
                <w:kern w:val="2"/>
                <w:sz w:val="32"/>
                <w:szCs w:val="32"/>
              </w:rPr>
            </w:pPr>
            <w:r w:rsidRPr="00020A4D">
              <w:rPr>
                <w:rFonts w:eastAsia="仿宋_GB2312"/>
                <w:b/>
                <w:bCs/>
                <w:kern w:val="2"/>
                <w:sz w:val="32"/>
                <w:szCs w:val="32"/>
              </w:rPr>
              <w:t>第十九条</w:t>
            </w:r>
            <w:r w:rsidRPr="00020A4D">
              <w:rPr>
                <w:rFonts w:eastAsia="仿宋_GB2312"/>
                <w:kern w:val="2"/>
                <w:sz w:val="32"/>
                <w:szCs w:val="32"/>
              </w:rPr>
              <w:t xml:space="preserve"> </w:t>
            </w:r>
            <w:r w:rsidRPr="00020A4D">
              <w:rPr>
                <w:rFonts w:eastAsia="仿宋_GB2312"/>
                <w:kern w:val="2"/>
                <w:sz w:val="32"/>
                <w:szCs w:val="32"/>
              </w:rPr>
              <w:t>滚动交割的</w:t>
            </w:r>
            <w:proofErr w:type="gramStart"/>
            <w:r w:rsidRPr="00020A4D">
              <w:rPr>
                <w:rFonts w:eastAsia="仿宋_GB2312"/>
                <w:kern w:val="2"/>
                <w:sz w:val="32"/>
                <w:szCs w:val="32"/>
              </w:rPr>
              <w:t>配对日闭市</w:t>
            </w:r>
            <w:proofErr w:type="gramEnd"/>
            <w:r w:rsidRPr="00020A4D">
              <w:rPr>
                <w:rFonts w:eastAsia="仿宋_GB2312"/>
                <w:kern w:val="2"/>
                <w:sz w:val="32"/>
                <w:szCs w:val="32"/>
              </w:rPr>
              <w:t>后，交易所通过系统，按照如下原则和步骤进行交割配对：</w:t>
            </w:r>
          </w:p>
          <w:p w:rsidR="00B43E8B" w:rsidRPr="00020A4D" w:rsidRDefault="00B43E8B" w:rsidP="00EB3850">
            <w:pPr>
              <w:pStyle w:val="a3"/>
              <w:widowControl/>
              <w:shd w:val="clear" w:color="auto" w:fill="FFFFFF"/>
              <w:spacing w:beforeAutospacing="0" w:after="420" w:afterAutospacing="0" w:line="580" w:lineRule="exact"/>
              <w:ind w:firstLineChars="200" w:firstLine="640"/>
              <w:jc w:val="both"/>
              <w:rPr>
                <w:rFonts w:eastAsia="仿宋_GB2312"/>
                <w:kern w:val="2"/>
                <w:sz w:val="32"/>
                <w:szCs w:val="32"/>
              </w:rPr>
            </w:pPr>
            <w:r w:rsidRPr="00020A4D">
              <w:rPr>
                <w:rFonts w:eastAsia="仿宋_GB2312"/>
                <w:kern w:val="2"/>
                <w:sz w:val="32"/>
                <w:szCs w:val="32"/>
              </w:rPr>
              <w:t>……</w:t>
            </w:r>
          </w:p>
          <w:p w:rsidR="00B43E8B" w:rsidRPr="00020A4D" w:rsidRDefault="00B43E8B" w:rsidP="00EB3850">
            <w:pPr>
              <w:pStyle w:val="a3"/>
              <w:widowControl/>
              <w:shd w:val="clear" w:color="auto" w:fill="FFFFFF"/>
              <w:spacing w:beforeAutospacing="0" w:after="420" w:afterAutospacing="0" w:line="580" w:lineRule="exact"/>
              <w:ind w:firstLineChars="200" w:firstLine="640"/>
              <w:jc w:val="both"/>
              <w:rPr>
                <w:rFonts w:eastAsia="仿宋_GB2312"/>
                <w:kern w:val="2"/>
                <w:sz w:val="32"/>
                <w:szCs w:val="32"/>
              </w:rPr>
            </w:pPr>
            <w:r w:rsidRPr="00020A4D">
              <w:rPr>
                <w:rFonts w:eastAsia="仿宋_GB2312"/>
                <w:kern w:val="2"/>
                <w:sz w:val="32"/>
                <w:szCs w:val="32"/>
              </w:rPr>
              <w:t>第二步：匹配买方和指定交割仓库。对任</w:t>
            </w:r>
            <w:proofErr w:type="gramStart"/>
            <w:r w:rsidRPr="00020A4D">
              <w:rPr>
                <w:rFonts w:eastAsia="仿宋_GB2312"/>
                <w:kern w:val="2"/>
                <w:sz w:val="32"/>
                <w:szCs w:val="32"/>
              </w:rPr>
              <w:t>一</w:t>
            </w:r>
            <w:proofErr w:type="gramEnd"/>
            <w:r w:rsidRPr="00020A4D">
              <w:rPr>
                <w:rFonts w:eastAsia="仿宋_GB2312"/>
                <w:kern w:val="2"/>
                <w:sz w:val="32"/>
                <w:szCs w:val="32"/>
              </w:rPr>
              <w:t>指定交割仓库，若提出交割意向买方持仓数量合计小于等于其相关标准仓单数量，则所有买方意向均满足；若提出交割意向买方持仓数量合计大于其相关标准仓单数量，则按照</w:t>
            </w:r>
            <w:proofErr w:type="gramStart"/>
            <w:r w:rsidRPr="00020A4D">
              <w:rPr>
                <w:rFonts w:eastAsia="仿宋_GB2312"/>
                <w:kern w:val="2"/>
                <w:sz w:val="32"/>
                <w:szCs w:val="32"/>
              </w:rPr>
              <w:t>“</w:t>
            </w:r>
            <w:proofErr w:type="gramEnd"/>
            <w:r w:rsidRPr="00020A4D">
              <w:rPr>
                <w:rFonts w:eastAsia="仿宋_GB2312"/>
                <w:kern w:val="2"/>
                <w:sz w:val="32"/>
                <w:szCs w:val="32"/>
              </w:rPr>
              <w:t>保税标准仓单优先配对境外买方</w:t>
            </w:r>
            <w:r w:rsidRPr="00020A4D">
              <w:rPr>
                <w:rFonts w:eastAsia="仿宋_GB2312"/>
                <w:kern w:val="2"/>
                <w:sz w:val="32"/>
                <w:szCs w:val="32"/>
                <w:shd w:val="clear" w:color="FFFFFF" w:fill="D9D9D9"/>
              </w:rPr>
              <w:t>（不包括</w:t>
            </w:r>
            <w:r w:rsidRPr="00020A4D">
              <w:rPr>
                <w:rFonts w:eastAsia="仿宋_GB2312"/>
                <w:sz w:val="32"/>
                <w:szCs w:val="32"/>
                <w:shd w:val="clear" w:color="FFFFFF" w:fill="D9D9D9"/>
              </w:rPr>
              <w:t>合格境外机构投资者和人民币合格境外机构投资者，以下统称</w:t>
            </w:r>
            <w:r w:rsidRPr="00020A4D">
              <w:rPr>
                <w:rFonts w:eastAsia="仿宋_GB2312"/>
                <w:sz w:val="32"/>
                <w:szCs w:val="32"/>
                <w:shd w:val="clear" w:color="FFFFFF" w:fill="D9D9D9"/>
              </w:rPr>
              <w:t>“</w:t>
            </w:r>
            <w:r w:rsidRPr="00020A4D">
              <w:rPr>
                <w:rFonts w:eastAsia="仿宋_GB2312"/>
                <w:sz w:val="32"/>
                <w:szCs w:val="32"/>
                <w:shd w:val="clear" w:color="FFFFFF" w:fill="D9D9D9"/>
              </w:rPr>
              <w:t>合格境外投资者</w:t>
            </w:r>
            <w:r w:rsidRPr="00020A4D">
              <w:rPr>
                <w:rFonts w:eastAsia="仿宋_GB2312"/>
                <w:sz w:val="32"/>
                <w:szCs w:val="32"/>
                <w:shd w:val="clear" w:color="FFFFFF" w:fill="D9D9D9"/>
              </w:rPr>
              <w:t>”</w:t>
            </w:r>
            <w:r w:rsidRPr="00020A4D">
              <w:rPr>
                <w:rFonts w:eastAsia="仿宋_GB2312"/>
                <w:kern w:val="2"/>
                <w:sz w:val="32"/>
                <w:szCs w:val="32"/>
                <w:shd w:val="clear" w:color="FFFFFF" w:fill="D9D9D9"/>
              </w:rPr>
              <w:t>）</w:t>
            </w:r>
            <w:r w:rsidRPr="00020A4D">
              <w:rPr>
                <w:rFonts w:eastAsia="仿宋_GB2312"/>
                <w:kern w:val="2"/>
                <w:sz w:val="32"/>
                <w:szCs w:val="32"/>
              </w:rPr>
              <w:t>、完税标准仓单优先配对境内买方</w:t>
            </w:r>
            <w:proofErr w:type="gramStart"/>
            <w:r w:rsidRPr="00020A4D">
              <w:rPr>
                <w:rFonts w:eastAsia="仿宋_GB2312"/>
                <w:kern w:val="2"/>
                <w:sz w:val="32"/>
                <w:szCs w:val="32"/>
              </w:rPr>
              <w:t>”</w:t>
            </w:r>
            <w:proofErr w:type="gramEnd"/>
            <w:r w:rsidRPr="00020A4D">
              <w:rPr>
                <w:rFonts w:eastAsia="仿宋_GB2312"/>
                <w:kern w:val="2"/>
                <w:sz w:val="32"/>
                <w:szCs w:val="32"/>
              </w:rPr>
              <w:t>和</w:t>
            </w:r>
            <w:r w:rsidRPr="00020A4D">
              <w:rPr>
                <w:rFonts w:eastAsia="仿宋_GB2312"/>
                <w:kern w:val="2"/>
                <w:sz w:val="32"/>
                <w:szCs w:val="32"/>
              </w:rPr>
              <w:t>“</w:t>
            </w:r>
            <w:r w:rsidRPr="00020A4D">
              <w:rPr>
                <w:rFonts w:eastAsia="仿宋_GB2312"/>
                <w:kern w:val="2"/>
                <w:sz w:val="32"/>
                <w:szCs w:val="32"/>
              </w:rPr>
              <w:t>平均持仓时间长优先</w:t>
            </w:r>
            <w:r w:rsidRPr="00020A4D">
              <w:rPr>
                <w:rFonts w:eastAsia="仿宋_GB2312"/>
                <w:kern w:val="2"/>
                <w:sz w:val="32"/>
                <w:szCs w:val="32"/>
              </w:rPr>
              <w:t>”</w:t>
            </w:r>
            <w:r w:rsidRPr="00020A4D">
              <w:rPr>
                <w:rFonts w:eastAsia="仿宋_GB2312"/>
                <w:kern w:val="2"/>
                <w:sz w:val="32"/>
                <w:szCs w:val="32"/>
              </w:rPr>
              <w:t>的原则确定参与交割配对的买方。</w:t>
            </w:r>
          </w:p>
          <w:p w:rsidR="00B43E8B" w:rsidRPr="00020A4D" w:rsidRDefault="00B43E8B" w:rsidP="00EB3850">
            <w:pPr>
              <w:pStyle w:val="a3"/>
              <w:widowControl/>
              <w:shd w:val="clear" w:color="auto" w:fill="FFFFFF"/>
              <w:spacing w:beforeAutospacing="0" w:after="420" w:afterAutospacing="0" w:line="580" w:lineRule="exact"/>
              <w:ind w:firstLineChars="200" w:firstLine="640"/>
              <w:jc w:val="both"/>
              <w:rPr>
                <w:rFonts w:eastAsia="仿宋_GB2312"/>
                <w:kern w:val="2"/>
                <w:sz w:val="32"/>
                <w:szCs w:val="32"/>
              </w:rPr>
            </w:pPr>
            <w:r w:rsidRPr="00020A4D">
              <w:rPr>
                <w:rFonts w:eastAsia="仿宋_GB2312"/>
                <w:kern w:val="2"/>
                <w:sz w:val="32"/>
                <w:szCs w:val="32"/>
              </w:rPr>
              <w:t>……</w:t>
            </w:r>
          </w:p>
          <w:p w:rsidR="00B43E8B" w:rsidRPr="00020A4D" w:rsidRDefault="00B43E8B" w:rsidP="00EB3850">
            <w:pPr>
              <w:pStyle w:val="a3"/>
              <w:widowControl/>
              <w:shd w:val="clear" w:color="auto" w:fill="FFFFFF"/>
              <w:spacing w:beforeAutospacing="0" w:after="420" w:afterAutospacing="0" w:line="580" w:lineRule="exact"/>
              <w:ind w:firstLineChars="200" w:firstLine="640"/>
              <w:jc w:val="both"/>
              <w:rPr>
                <w:rFonts w:eastAsia="仿宋_GB2312"/>
                <w:kern w:val="2"/>
                <w:sz w:val="32"/>
                <w:szCs w:val="32"/>
              </w:rPr>
            </w:pPr>
            <w:r w:rsidRPr="00020A4D">
              <w:rPr>
                <w:rFonts w:eastAsia="仿宋_GB2312"/>
                <w:kern w:val="2"/>
                <w:sz w:val="32"/>
                <w:szCs w:val="32"/>
              </w:rPr>
              <w:t>对于满足买方意向后剩余的标准仓单，交易所从未提交割意向和所提意向未被满足的买方持仓中，分别按照</w:t>
            </w:r>
            <w:r w:rsidRPr="00020A4D">
              <w:rPr>
                <w:rFonts w:eastAsia="仿宋_GB2312"/>
                <w:kern w:val="2"/>
                <w:sz w:val="32"/>
                <w:szCs w:val="32"/>
              </w:rPr>
              <w:t>“</w:t>
            </w:r>
            <w:r w:rsidRPr="00020A4D">
              <w:rPr>
                <w:rFonts w:eastAsia="仿宋_GB2312"/>
                <w:kern w:val="2"/>
                <w:sz w:val="32"/>
                <w:szCs w:val="32"/>
              </w:rPr>
              <w:t>含有建仓时间最早的持仓优先</w:t>
            </w:r>
            <w:r w:rsidRPr="00020A4D">
              <w:rPr>
                <w:rFonts w:eastAsia="仿宋_GB2312"/>
                <w:kern w:val="2"/>
                <w:sz w:val="32"/>
                <w:szCs w:val="32"/>
              </w:rPr>
              <w:t>”</w:t>
            </w:r>
            <w:r w:rsidRPr="00020A4D">
              <w:rPr>
                <w:rFonts w:eastAsia="仿宋_GB2312"/>
                <w:kern w:val="2"/>
                <w:sz w:val="32"/>
                <w:szCs w:val="32"/>
              </w:rPr>
              <w:t>原则，确定与完税标准仓单配对的境内买方和与保税标准仓单配对的境外买方</w:t>
            </w:r>
            <w:r w:rsidRPr="00020A4D">
              <w:rPr>
                <w:rFonts w:eastAsia="仿宋_GB2312"/>
                <w:kern w:val="2"/>
                <w:sz w:val="32"/>
                <w:szCs w:val="32"/>
                <w:shd w:val="clear" w:color="FFFFFF" w:fill="D9D9D9"/>
              </w:rPr>
              <w:t>（不包括合格境外投资者）</w:t>
            </w:r>
            <w:r w:rsidRPr="00020A4D">
              <w:rPr>
                <w:rFonts w:eastAsia="仿宋_GB2312"/>
                <w:kern w:val="2"/>
                <w:sz w:val="32"/>
                <w:szCs w:val="32"/>
              </w:rPr>
              <w:t>，再按</w:t>
            </w:r>
            <w:r w:rsidRPr="00020A4D">
              <w:rPr>
                <w:rFonts w:eastAsia="仿宋_GB2312"/>
                <w:kern w:val="2"/>
                <w:sz w:val="32"/>
                <w:szCs w:val="32"/>
              </w:rPr>
              <w:t>“</w:t>
            </w:r>
            <w:r w:rsidRPr="00020A4D">
              <w:rPr>
                <w:rFonts w:eastAsia="仿宋_GB2312"/>
                <w:kern w:val="2"/>
                <w:sz w:val="32"/>
                <w:szCs w:val="32"/>
              </w:rPr>
              <w:t>最少配对数</w:t>
            </w:r>
            <w:r w:rsidRPr="00020A4D">
              <w:rPr>
                <w:rFonts w:eastAsia="仿宋_GB2312"/>
                <w:kern w:val="2"/>
                <w:sz w:val="32"/>
                <w:szCs w:val="32"/>
              </w:rPr>
              <w:t>”</w:t>
            </w:r>
            <w:r w:rsidRPr="00020A4D">
              <w:rPr>
                <w:rFonts w:eastAsia="仿宋_GB2312"/>
                <w:kern w:val="2"/>
                <w:sz w:val="32"/>
                <w:szCs w:val="32"/>
              </w:rPr>
              <w:t>原则确定买方交割对应的指定交割仓库，以及在该指定交割仓库交割的数量。</w:t>
            </w:r>
          </w:p>
          <w:p w:rsidR="00B43E8B" w:rsidRPr="00020A4D" w:rsidRDefault="00B43E8B" w:rsidP="00EB3850">
            <w:pPr>
              <w:widowControl/>
              <w:shd w:val="clear" w:color="auto" w:fill="FFFFFF"/>
              <w:ind w:firstLineChars="200" w:firstLine="640"/>
              <w:rPr>
                <w:rFonts w:eastAsia="仿宋_GB2312"/>
                <w:color w:val="000000"/>
                <w:sz w:val="32"/>
                <w:szCs w:val="32"/>
              </w:rPr>
            </w:pPr>
            <w:r w:rsidRPr="00020A4D">
              <w:rPr>
                <w:rFonts w:eastAsia="仿宋_GB2312"/>
                <w:color w:val="000000"/>
                <w:sz w:val="32"/>
                <w:szCs w:val="32"/>
              </w:rPr>
              <w:t>……</w:t>
            </w:r>
          </w:p>
          <w:p w:rsidR="00B43E8B" w:rsidRPr="00020A4D" w:rsidRDefault="00B43E8B" w:rsidP="00EB3850">
            <w:pPr>
              <w:pStyle w:val="a3"/>
              <w:adjustRightInd w:val="0"/>
              <w:snapToGrid w:val="0"/>
              <w:spacing w:beforeAutospacing="0" w:afterAutospacing="0" w:line="580" w:lineRule="exact"/>
              <w:ind w:firstLineChars="228" w:firstLine="547"/>
              <w:jc w:val="both"/>
              <w:rPr>
                <w:rFonts w:eastAsia="仿宋_GB2312"/>
              </w:rPr>
            </w:pPr>
          </w:p>
        </w:tc>
      </w:tr>
    </w:tbl>
    <w:p w:rsidR="00B43E8B" w:rsidRPr="00020A4D" w:rsidRDefault="00B43E8B" w:rsidP="00B43E8B">
      <w:pPr>
        <w:jc w:val="left"/>
        <w:rPr>
          <w:rFonts w:ascii="Times New Roman" w:eastAsia="仿宋_GB2312" w:hAnsi="Times New Roman" w:cs="Times New Roman"/>
          <w:b/>
          <w:bCs/>
          <w:sz w:val="32"/>
          <w:szCs w:val="32"/>
        </w:rPr>
      </w:pPr>
    </w:p>
    <w:p w:rsidR="00B43E8B" w:rsidRPr="00020A4D" w:rsidRDefault="00B43E8B" w:rsidP="00B43E8B">
      <w:pPr>
        <w:widowControl/>
        <w:jc w:val="left"/>
        <w:rPr>
          <w:rFonts w:ascii="Times New Roman" w:eastAsia="仿宋_GB2312" w:hAnsi="Times New Roman" w:cs="Times New Roman"/>
          <w:b/>
          <w:bCs/>
          <w:sz w:val="32"/>
          <w:szCs w:val="32"/>
        </w:rPr>
      </w:pPr>
      <w:r w:rsidRPr="00020A4D">
        <w:rPr>
          <w:rFonts w:ascii="Times New Roman" w:eastAsia="仿宋_GB2312" w:hAnsi="Times New Roman" w:cs="Times New Roman"/>
          <w:b/>
          <w:bCs/>
          <w:sz w:val="32"/>
          <w:szCs w:val="32"/>
        </w:rPr>
        <w:br w:type="page"/>
      </w:r>
    </w:p>
    <w:p w:rsidR="00463F27" w:rsidRDefault="00463F27"/>
    <w:sectPr w:rsidR="00463F27" w:rsidSect="00DA4927">
      <w:footerReference w:type="default" r:id="rId6"/>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927" w:rsidRDefault="00DA4927" w:rsidP="00DA4927">
      <w:r>
        <w:separator/>
      </w:r>
    </w:p>
  </w:endnote>
  <w:endnote w:type="continuationSeparator" w:id="0">
    <w:p w:rsidR="00DA4927" w:rsidRDefault="00DA4927" w:rsidP="00DA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508154"/>
      <w:docPartObj>
        <w:docPartGallery w:val="Page Numbers (Bottom of Page)"/>
        <w:docPartUnique/>
      </w:docPartObj>
    </w:sdtPr>
    <w:sdtContent>
      <w:p w:rsidR="00DA4927" w:rsidRDefault="00DA4927" w:rsidP="00DA4927">
        <w:pPr>
          <w:pStyle w:val="a7"/>
          <w:jc w:val="center"/>
          <w:rPr>
            <w:rFonts w:hint="eastAsia"/>
          </w:rPr>
        </w:pPr>
        <w:r>
          <w:fldChar w:fldCharType="begin"/>
        </w:r>
        <w:r>
          <w:instrText>PAGE   \* MERGEFORMAT</w:instrText>
        </w:r>
        <w:r>
          <w:fldChar w:fldCharType="separate"/>
        </w:r>
        <w:r w:rsidRPr="00DA4927">
          <w:rPr>
            <w:noProof/>
            <w:lang w:val="zh-CN"/>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927" w:rsidRDefault="00DA4927" w:rsidP="00DA4927">
      <w:r>
        <w:separator/>
      </w:r>
    </w:p>
  </w:footnote>
  <w:footnote w:type="continuationSeparator" w:id="0">
    <w:p w:rsidR="00DA4927" w:rsidRDefault="00DA4927" w:rsidP="00DA4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E8B"/>
    <w:rsid w:val="003852B4"/>
    <w:rsid w:val="00463F27"/>
    <w:rsid w:val="00B43E8B"/>
    <w:rsid w:val="00DA4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F462D"/>
  <w15:chartTrackingRefBased/>
  <w15:docId w15:val="{A61BBF97-AB62-4ABF-AD68-B3F15598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E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B43E8B"/>
    <w:pPr>
      <w:spacing w:beforeAutospacing="1" w:afterAutospacing="1"/>
      <w:jc w:val="left"/>
    </w:pPr>
    <w:rPr>
      <w:rFonts w:cs="Times New Roman"/>
      <w:kern w:val="0"/>
      <w:sz w:val="24"/>
    </w:rPr>
  </w:style>
  <w:style w:type="table" w:styleId="a4">
    <w:name w:val="Table Grid"/>
    <w:basedOn w:val="a1"/>
    <w:uiPriority w:val="39"/>
    <w:qFormat/>
    <w:rsid w:val="00B43E8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标题 21"/>
    <w:basedOn w:val="a"/>
    <w:next w:val="a"/>
    <w:semiHidden/>
    <w:unhideWhenUsed/>
    <w:qFormat/>
    <w:rsid w:val="00B43E8B"/>
    <w:pPr>
      <w:spacing w:beforeAutospacing="1" w:afterAutospacing="1"/>
      <w:jc w:val="left"/>
    </w:pPr>
    <w:rPr>
      <w:rFonts w:ascii="宋体" w:eastAsia="宋体" w:hAnsi="宋体" w:cs="Times New Roman"/>
      <w:b/>
      <w:bCs/>
      <w:kern w:val="0"/>
      <w:sz w:val="36"/>
      <w:szCs w:val="36"/>
    </w:rPr>
  </w:style>
  <w:style w:type="paragraph" w:styleId="a5">
    <w:name w:val="header"/>
    <w:basedOn w:val="a"/>
    <w:link w:val="a6"/>
    <w:uiPriority w:val="99"/>
    <w:unhideWhenUsed/>
    <w:rsid w:val="00DA492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A4927"/>
    <w:rPr>
      <w:sz w:val="18"/>
      <w:szCs w:val="18"/>
    </w:rPr>
  </w:style>
  <w:style w:type="paragraph" w:styleId="a7">
    <w:name w:val="footer"/>
    <w:basedOn w:val="a"/>
    <w:link w:val="a8"/>
    <w:uiPriority w:val="99"/>
    <w:unhideWhenUsed/>
    <w:rsid w:val="00DA4927"/>
    <w:pPr>
      <w:tabs>
        <w:tab w:val="center" w:pos="4153"/>
        <w:tab w:val="right" w:pos="8306"/>
      </w:tabs>
      <w:snapToGrid w:val="0"/>
      <w:jc w:val="left"/>
    </w:pPr>
    <w:rPr>
      <w:sz w:val="18"/>
      <w:szCs w:val="18"/>
    </w:rPr>
  </w:style>
  <w:style w:type="character" w:customStyle="1" w:styleId="a8">
    <w:name w:val="页脚 字符"/>
    <w:basedOn w:val="a0"/>
    <w:link w:val="a7"/>
    <w:uiPriority w:val="99"/>
    <w:rsid w:val="00DA49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曲伸</dc:creator>
  <cp:keywords/>
  <dc:description/>
  <cp:lastModifiedBy>王皓如</cp:lastModifiedBy>
  <cp:revision>2</cp:revision>
  <dcterms:created xsi:type="dcterms:W3CDTF">2021-11-26T06:12:00Z</dcterms:created>
  <dcterms:modified xsi:type="dcterms:W3CDTF">2021-11-26T07:24:00Z</dcterms:modified>
</cp:coreProperties>
</file>