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C5" w:rsidRPr="00676037" w:rsidRDefault="00CB33C5" w:rsidP="00CB33C5">
      <w:pPr>
        <w:rPr>
          <w:rFonts w:ascii="黑体" w:eastAsia="黑体" w:hAnsi="黑体" w:cs="仿宋_GB2312"/>
          <w:szCs w:val="32"/>
        </w:rPr>
      </w:pPr>
      <w:r w:rsidRPr="00676037">
        <w:rPr>
          <w:rFonts w:ascii="黑体" w:eastAsia="黑体" w:hAnsi="黑体" w:cs="仿宋_GB2312" w:hint="eastAsia"/>
          <w:szCs w:val="32"/>
        </w:rPr>
        <w:t>附件2</w:t>
      </w:r>
    </w:p>
    <w:p w:rsidR="00CB33C5" w:rsidRDefault="00CB33C5" w:rsidP="00CB33C5">
      <w:pPr>
        <w:spacing w:line="580" w:lineRule="exact"/>
        <w:rPr>
          <w:rFonts w:ascii="Times New Roman" w:eastAsia="黑体" w:hAnsi="Times New Roman"/>
          <w:b/>
          <w:bCs/>
          <w:szCs w:val="32"/>
        </w:rPr>
      </w:pPr>
    </w:p>
    <w:p w:rsidR="00CB33C5" w:rsidRPr="00676037" w:rsidRDefault="00CB33C5" w:rsidP="00CB33C5">
      <w:pPr>
        <w:spacing w:line="580" w:lineRule="exact"/>
        <w:jc w:val="center"/>
        <w:rPr>
          <w:rFonts w:ascii="宋体" w:eastAsia="宋体" w:hAnsi="宋体"/>
          <w:b/>
          <w:color w:val="000000"/>
          <w:sz w:val="44"/>
          <w:szCs w:val="44"/>
        </w:rPr>
      </w:pPr>
      <w:r w:rsidRPr="00676037">
        <w:rPr>
          <w:rFonts w:ascii="宋体" w:eastAsia="宋体" w:hAnsi="宋体"/>
          <w:b/>
          <w:color w:val="000000"/>
          <w:sz w:val="44"/>
          <w:szCs w:val="44"/>
        </w:rPr>
        <w:t>《大连商品交易所结算管理办法》</w:t>
      </w:r>
    </w:p>
    <w:p w:rsidR="00CB33C5" w:rsidRPr="00676037" w:rsidRDefault="00CB33C5" w:rsidP="00CB33C5">
      <w:pPr>
        <w:spacing w:line="580" w:lineRule="exact"/>
        <w:jc w:val="center"/>
        <w:rPr>
          <w:rFonts w:ascii="宋体" w:eastAsia="宋体" w:hAnsi="宋体"/>
          <w:b/>
          <w:color w:val="000000"/>
          <w:sz w:val="44"/>
          <w:szCs w:val="44"/>
        </w:rPr>
      </w:pPr>
      <w:r w:rsidRPr="00676037">
        <w:rPr>
          <w:rFonts w:ascii="宋体" w:eastAsia="宋体" w:hAnsi="宋体"/>
          <w:b/>
          <w:color w:val="000000"/>
          <w:sz w:val="44"/>
          <w:szCs w:val="44"/>
        </w:rPr>
        <w:t>修改对照表</w:t>
      </w:r>
    </w:p>
    <w:p w:rsidR="00CB33C5" w:rsidRDefault="00CB33C5" w:rsidP="00CB33C5">
      <w:pPr>
        <w:shd w:val="clear" w:color="auto" w:fill="FFFFFF"/>
        <w:spacing w:line="580" w:lineRule="exact"/>
        <w:ind w:firstLine="645"/>
        <w:rPr>
          <w:rFonts w:ascii="仿宋_GB2312" w:hAnsi="仿宋_GB2312" w:cs="仿宋_GB2312"/>
          <w:color w:val="000000"/>
          <w:sz w:val="24"/>
          <w:shd w:val="clear" w:color="auto" w:fill="FFFFFF"/>
        </w:rPr>
      </w:pPr>
      <w:r>
        <w:rPr>
          <w:rFonts w:ascii="仿宋_GB2312" w:hAnsi="仿宋_GB2312" w:cs="仿宋_GB2312" w:hint="eastAsia"/>
          <w:color w:val="000000"/>
          <w:sz w:val="24"/>
          <w:shd w:val="clear" w:color="auto" w:fill="FFFFFF"/>
        </w:rPr>
        <w:t>（注：阴影部分为新增内容；出现条款增加的，其他条款顺序依次顺延。）</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5863"/>
      </w:tblGrid>
      <w:tr w:rsidR="00CB33C5" w:rsidTr="00477898">
        <w:trPr>
          <w:trHeight w:val="448"/>
          <w:jc w:val="center"/>
        </w:trPr>
        <w:tc>
          <w:tcPr>
            <w:tcW w:w="2579" w:type="dxa"/>
            <w:vAlign w:val="center"/>
          </w:tcPr>
          <w:p w:rsidR="00CB33C5" w:rsidRDefault="00CB33C5" w:rsidP="00477898">
            <w:pPr>
              <w:spacing w:line="300" w:lineRule="auto"/>
              <w:jc w:val="center"/>
              <w:rPr>
                <w:rFonts w:ascii="仿宋_GB2312" w:hAnsi="仿宋_GB2312" w:cs="仿宋_GB2312"/>
                <w:b/>
                <w:szCs w:val="32"/>
              </w:rPr>
            </w:pPr>
            <w:r>
              <w:rPr>
                <w:rFonts w:ascii="仿宋_GB2312" w:hAnsi="仿宋_GB2312" w:cs="仿宋_GB2312" w:hint="eastAsia"/>
                <w:b/>
                <w:szCs w:val="32"/>
              </w:rPr>
              <w:t>原条文</w:t>
            </w:r>
          </w:p>
        </w:tc>
        <w:tc>
          <w:tcPr>
            <w:tcW w:w="5863" w:type="dxa"/>
            <w:vAlign w:val="center"/>
          </w:tcPr>
          <w:p w:rsidR="00CB33C5" w:rsidRDefault="00CB33C5" w:rsidP="00477898">
            <w:pPr>
              <w:spacing w:line="300" w:lineRule="auto"/>
              <w:jc w:val="center"/>
              <w:rPr>
                <w:rFonts w:ascii="仿宋_GB2312" w:hAnsi="仿宋_GB2312" w:cs="仿宋_GB2312"/>
                <w:b/>
                <w:szCs w:val="32"/>
              </w:rPr>
            </w:pPr>
            <w:r>
              <w:rPr>
                <w:rFonts w:ascii="仿宋_GB2312" w:hAnsi="仿宋_GB2312" w:cs="仿宋_GB2312" w:hint="eastAsia"/>
                <w:b/>
                <w:szCs w:val="32"/>
              </w:rPr>
              <w:t>增加条文</w:t>
            </w:r>
          </w:p>
        </w:tc>
      </w:tr>
      <w:tr w:rsidR="00CB33C5" w:rsidTr="00477898">
        <w:trPr>
          <w:trHeight w:val="448"/>
          <w:jc w:val="center"/>
        </w:trPr>
        <w:tc>
          <w:tcPr>
            <w:tcW w:w="2579" w:type="dxa"/>
            <w:vAlign w:val="center"/>
          </w:tcPr>
          <w:p w:rsidR="00CB33C5" w:rsidRDefault="00CB33C5" w:rsidP="00477898">
            <w:pPr>
              <w:spacing w:line="300" w:lineRule="auto"/>
              <w:rPr>
                <w:rFonts w:ascii="仿宋_GB2312" w:hAnsi="仿宋_GB2312" w:cs="仿宋_GB2312"/>
                <w:szCs w:val="32"/>
              </w:rPr>
            </w:pPr>
          </w:p>
        </w:tc>
        <w:tc>
          <w:tcPr>
            <w:tcW w:w="5863" w:type="dxa"/>
            <w:vAlign w:val="center"/>
          </w:tcPr>
          <w:p w:rsidR="00CB33C5" w:rsidRDefault="00CB33C5" w:rsidP="00477898">
            <w:pPr>
              <w:spacing w:line="580" w:lineRule="exact"/>
              <w:jc w:val="center"/>
              <w:outlineLvl w:val="3"/>
              <w:rPr>
                <w:rFonts w:ascii="仿宋_GB2312" w:hAnsi="仿宋_GB2312" w:cs="仿宋_GB2312"/>
                <w:b/>
                <w:bCs/>
                <w:szCs w:val="32"/>
              </w:rPr>
            </w:pPr>
            <w:r>
              <w:rPr>
                <w:rFonts w:ascii="仿宋_GB2312" w:hAnsi="仿宋_GB2312" w:cs="仿宋_GB2312" w:hint="eastAsia"/>
                <w:b/>
                <w:bCs/>
                <w:szCs w:val="32"/>
              </w:rPr>
              <w:t>第三章 日常结算</w:t>
            </w:r>
          </w:p>
          <w:p w:rsidR="00CB33C5" w:rsidRDefault="00CB33C5" w:rsidP="00477898">
            <w:pPr>
              <w:spacing w:line="580" w:lineRule="exact"/>
              <w:jc w:val="center"/>
              <w:outlineLvl w:val="3"/>
              <w:rPr>
                <w:rFonts w:ascii="仿宋_GB2312" w:hAnsi="仿宋_GB2312" w:cs="仿宋_GB2312"/>
                <w:szCs w:val="32"/>
              </w:rPr>
            </w:pPr>
            <w:r>
              <w:rPr>
                <w:rFonts w:ascii="仿宋_GB2312" w:hAnsi="仿宋_GB2312" w:cs="仿宋_GB2312" w:hint="eastAsia"/>
                <w:szCs w:val="32"/>
              </w:rPr>
              <w:t>……</w:t>
            </w:r>
          </w:p>
          <w:p w:rsidR="00CB33C5" w:rsidRDefault="00CB33C5" w:rsidP="00477898">
            <w:pPr>
              <w:spacing w:line="580" w:lineRule="exact"/>
              <w:ind w:firstLineChars="200" w:firstLine="643"/>
              <w:outlineLvl w:val="3"/>
              <w:rPr>
                <w:rFonts w:ascii="仿宋_GB2312" w:hAnsi="仿宋_GB2312" w:cs="仿宋_GB2312"/>
                <w:szCs w:val="32"/>
                <w:shd w:val="pct10" w:color="auto" w:fill="FFFFFF"/>
              </w:rPr>
            </w:pPr>
            <w:r>
              <w:rPr>
                <w:rFonts w:ascii="仿宋_GB2312" w:hAnsi="仿宋_GB2312" w:cs="仿宋_GB2312" w:hint="eastAsia"/>
                <w:b/>
                <w:bCs/>
                <w:szCs w:val="32"/>
                <w:shd w:val="pct10" w:color="auto" w:fill="FFFFFF"/>
              </w:rPr>
              <w:t>第五十八条</w:t>
            </w:r>
            <w:r>
              <w:rPr>
                <w:rFonts w:ascii="仿宋_GB2312" w:hAnsi="仿宋_GB2312" w:cs="仿宋_GB2312" w:hint="eastAsia"/>
                <w:szCs w:val="32"/>
                <w:shd w:val="pct10" w:color="auto" w:fill="FFFFFF"/>
              </w:rPr>
              <w:t xml:space="preserve"> 非期货公司会员、境外特殊非经纪参与者和客户可以申请对其同一交易编码下的双向期货持仓进行对冲平仓。对</w:t>
            </w:r>
            <w:proofErr w:type="gramStart"/>
            <w:r>
              <w:rPr>
                <w:rFonts w:ascii="仿宋_GB2312" w:hAnsi="仿宋_GB2312" w:cs="仿宋_GB2312" w:hint="eastAsia"/>
                <w:szCs w:val="32"/>
                <w:shd w:val="pct10" w:color="auto" w:fill="FFFFFF"/>
              </w:rPr>
              <w:t>冲结果</w:t>
            </w:r>
            <w:proofErr w:type="gramEnd"/>
            <w:r>
              <w:rPr>
                <w:rFonts w:ascii="仿宋_GB2312" w:hAnsi="仿宋_GB2312" w:cs="仿宋_GB2312" w:hint="eastAsia"/>
                <w:szCs w:val="32"/>
                <w:shd w:val="pct10" w:color="auto" w:fill="FFFFFF"/>
              </w:rPr>
              <w:t>从当日期货持仓量中扣除，并计入成交量。</w:t>
            </w:r>
          </w:p>
          <w:p w:rsidR="00CB33C5" w:rsidRDefault="00CB33C5" w:rsidP="00477898">
            <w:pPr>
              <w:spacing w:line="580" w:lineRule="exact"/>
              <w:ind w:firstLine="562"/>
              <w:rPr>
                <w:rFonts w:ascii="仿宋_GB2312" w:hAnsi="仿宋_GB2312" w:cs="仿宋_GB2312"/>
                <w:b/>
                <w:szCs w:val="32"/>
              </w:rPr>
            </w:pPr>
            <w:r>
              <w:rPr>
                <w:rFonts w:ascii="仿宋_GB2312" w:hAnsi="仿宋_GB2312" w:cs="仿宋_GB2312" w:hint="eastAsia"/>
                <w:szCs w:val="32"/>
                <w:shd w:val="pct10" w:color="auto" w:fill="FFFFFF"/>
              </w:rPr>
              <w:t>申请时间和具体方式由交易所另行公布。</w:t>
            </w:r>
          </w:p>
        </w:tc>
        <w:bookmarkStart w:id="0" w:name="_GoBack"/>
        <w:bookmarkEnd w:id="0"/>
      </w:tr>
    </w:tbl>
    <w:p w:rsidR="00CB33C5" w:rsidRDefault="00CB33C5" w:rsidP="00CB33C5">
      <w:pPr>
        <w:rPr>
          <w:rFonts w:ascii="仿宋_GB2312" w:hAnsi="仿宋_GB2312" w:cs="仿宋_GB2312"/>
          <w:szCs w:val="32"/>
        </w:rPr>
      </w:pPr>
    </w:p>
    <w:p w:rsidR="00CB33C5" w:rsidRDefault="00CB33C5" w:rsidP="00CB33C5"/>
    <w:p w:rsidR="00697612" w:rsidRPr="00CB33C5" w:rsidRDefault="00697612" w:rsidP="00CB33C5"/>
    <w:sectPr w:rsidR="00697612" w:rsidRPr="00CB33C5" w:rsidSect="004F7A43">
      <w:footerReference w:type="default" r:id="rId6"/>
      <w:pgSz w:w="11906" w:h="16838"/>
      <w:pgMar w:top="1440" w:right="1800" w:bottom="1440" w:left="1800" w:header="851" w:footer="1417" w:gutter="0"/>
      <w:pgNumType w:fmt="numberInDash"/>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52" w:rsidRDefault="009D1C52" w:rsidP="009D1C52">
      <w:r>
        <w:separator/>
      </w:r>
    </w:p>
  </w:endnote>
  <w:endnote w:type="continuationSeparator" w:id="0">
    <w:p w:rsidR="009D1C52" w:rsidRDefault="009D1C52" w:rsidP="009D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548585"/>
      <w:docPartObj>
        <w:docPartGallery w:val="Page Numbers (Bottom of Page)"/>
        <w:docPartUnique/>
      </w:docPartObj>
    </w:sdtPr>
    <w:sdtEndPr>
      <w:rPr>
        <w:rFonts w:ascii="宋体" w:hAnsi="宋体"/>
        <w:sz w:val="28"/>
        <w:szCs w:val="28"/>
      </w:rPr>
    </w:sdtEndPr>
    <w:sdtContent>
      <w:p w:rsidR="004F7A43" w:rsidRPr="004F7A43" w:rsidRDefault="004F7A43" w:rsidP="004F7A43">
        <w:pPr>
          <w:pStyle w:val="a7"/>
          <w:ind w:rightChars="100" w:right="320"/>
          <w:jc w:val="right"/>
          <w:rPr>
            <w:rFonts w:ascii="宋体" w:hAnsi="宋体"/>
            <w:sz w:val="28"/>
            <w:szCs w:val="28"/>
          </w:rPr>
        </w:pPr>
        <w:r w:rsidRPr="004F7A43">
          <w:rPr>
            <w:rFonts w:ascii="宋体" w:hAnsi="宋体"/>
            <w:sz w:val="28"/>
            <w:szCs w:val="28"/>
          </w:rPr>
          <w:fldChar w:fldCharType="begin"/>
        </w:r>
        <w:r w:rsidRPr="004F7A43">
          <w:rPr>
            <w:rFonts w:ascii="宋体" w:hAnsi="宋体"/>
            <w:sz w:val="28"/>
            <w:szCs w:val="28"/>
          </w:rPr>
          <w:instrText>PAGE   \* MERGEFORMAT</w:instrText>
        </w:r>
        <w:r w:rsidRPr="004F7A43">
          <w:rPr>
            <w:rFonts w:ascii="宋体" w:hAnsi="宋体"/>
            <w:sz w:val="28"/>
            <w:szCs w:val="28"/>
          </w:rPr>
          <w:fldChar w:fldCharType="separate"/>
        </w:r>
        <w:r w:rsidRPr="004F7A43">
          <w:rPr>
            <w:rFonts w:ascii="宋体" w:hAnsi="宋体"/>
            <w:noProof/>
            <w:sz w:val="28"/>
            <w:szCs w:val="28"/>
            <w:lang w:val="zh-CN"/>
          </w:rPr>
          <w:t>-</w:t>
        </w:r>
        <w:r>
          <w:rPr>
            <w:rFonts w:ascii="宋体" w:hAnsi="宋体"/>
            <w:noProof/>
            <w:sz w:val="28"/>
            <w:szCs w:val="28"/>
          </w:rPr>
          <w:t xml:space="preserve"> 1 -</w:t>
        </w:r>
        <w:r w:rsidRPr="004F7A43">
          <w:rPr>
            <w:rFonts w:ascii="宋体" w:hAnsi="宋体"/>
            <w:sz w:val="28"/>
            <w:szCs w:val="28"/>
          </w:rPr>
          <w:fldChar w:fldCharType="end"/>
        </w:r>
      </w:p>
    </w:sdtContent>
  </w:sdt>
  <w:p w:rsidR="004F7A43" w:rsidRDefault="004F7A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52" w:rsidRDefault="009D1C52" w:rsidP="009D1C52">
      <w:r>
        <w:separator/>
      </w:r>
    </w:p>
  </w:footnote>
  <w:footnote w:type="continuationSeparator" w:id="0">
    <w:p w:rsidR="009D1C52" w:rsidRDefault="009D1C52" w:rsidP="009D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CC"/>
    <w:rsid w:val="002168EB"/>
    <w:rsid w:val="004F7A43"/>
    <w:rsid w:val="00697612"/>
    <w:rsid w:val="0078133A"/>
    <w:rsid w:val="009D1C52"/>
    <w:rsid w:val="00C544CC"/>
    <w:rsid w:val="00CB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A27B455-60E2-4036-84F0-8B2D5321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C52"/>
    <w:pPr>
      <w:widowControl w:val="0"/>
      <w:jc w:val="both"/>
    </w:pPr>
    <w:rPr>
      <w:rFonts w:ascii="Calibri" w:eastAsia="仿宋_GB2312" w:hAnsi="Calibri"/>
      <w:kern w:val="2"/>
      <w:sz w:val="32"/>
      <w:szCs w:val="22"/>
    </w:rPr>
  </w:style>
  <w:style w:type="paragraph" w:styleId="2">
    <w:name w:val="heading 2"/>
    <w:basedOn w:val="a"/>
    <w:next w:val="a"/>
    <w:link w:val="20"/>
    <w:uiPriority w:val="9"/>
    <w:qFormat/>
    <w:rsid w:val="0078133A"/>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rFonts w:ascii="等线" w:eastAsia="等线" w:hAnsi="等线"/>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rFonts w:ascii="等线" w:eastAsia="等线" w:hAnsi="等线"/>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uiPriority w:val="9"/>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eastAsia="宋体"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iPriority w:val="99"/>
    <w:unhideWhenUsed/>
    <w:qFormat/>
    <w:rsid w:val="0078133A"/>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iPriority w:val="99"/>
    <w:unhideWhenUsed/>
    <w:qFormat/>
    <w:rsid w:val="0078133A"/>
    <w:pPr>
      <w:tabs>
        <w:tab w:val="center" w:pos="4153"/>
        <w:tab w:val="right" w:pos="8306"/>
      </w:tabs>
      <w:snapToGrid w:val="0"/>
      <w:jc w:val="left"/>
    </w:pPr>
    <w:rPr>
      <w:rFonts w:ascii="Times New Roman" w:eastAsia="宋体"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iPriority w:val="99"/>
    <w:unhideWhenUsed/>
    <w:qFormat/>
    <w:rsid w:val="0078133A"/>
    <w:pPr>
      <w:spacing w:before="100" w:beforeAutospacing="1" w:after="100" w:afterAutospacing="1"/>
      <w:jc w:val="left"/>
    </w:pPr>
    <w:rPr>
      <w:rFonts w:ascii="等线" w:eastAsia="等线" w:hAnsi="等线"/>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eastAsia="宋体" w:hAnsi="Times New Roman"/>
      <w:kern w:val="0"/>
      <w:sz w:val="18"/>
      <w:szCs w:val="18"/>
    </w:rPr>
  </w:style>
  <w:style w:type="character" w:customStyle="1" w:styleId="af">
    <w:name w:val="批注框文本 字符"/>
    <w:link w:val="ae"/>
    <w:uiPriority w:val="99"/>
    <w:qFormat/>
    <w:rsid w:val="00781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4</cp:revision>
  <dcterms:created xsi:type="dcterms:W3CDTF">2024-03-21T03:13:00Z</dcterms:created>
  <dcterms:modified xsi:type="dcterms:W3CDTF">2024-03-21T03:41:00Z</dcterms:modified>
</cp:coreProperties>
</file>